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6F" w:rsidRPr="00A47CE1" w:rsidRDefault="004B0B6F" w:rsidP="004B0B6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виконання розпорядження голови обласної державної адміністрації від 22.04.2015 року № 219-ОД </w:t>
      </w:r>
      <w:r w:rsidRPr="00A47CE1">
        <w:rPr>
          <w:rFonts w:ascii="Times New Roman" w:hAnsi="Times New Roman" w:cs="Times New Roman"/>
          <w:b/>
          <w:sz w:val="28"/>
          <w:szCs w:val="28"/>
          <w:lang w:val="uk-UA"/>
        </w:rPr>
        <w:t>«Про впровадження державної регуляторної політики в області»</w:t>
      </w:r>
      <w:r w:rsidR="009523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квартал 2018 року</w:t>
      </w:r>
    </w:p>
    <w:p w:rsidR="004B0B6F" w:rsidRDefault="003236EC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B0B6F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0B6F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6EC" w:rsidRPr="00A47CE1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236E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86D6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236EC"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Недригайлівська районна державна адміністрація повідомляє, що план діяльності з підготовки проектів регуляторних актів на 2018 рік райдержадміністрацією не приймався. </w:t>
      </w:r>
    </w:p>
    <w:p w:rsidR="003236EC" w:rsidRDefault="003236EC" w:rsidP="00323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діє два регуляторних акти.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59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кварталу  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регуляторні акти </w:t>
      </w:r>
      <w:r w:rsidR="0000594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переглядались на відповідність з принципами державної  регуляторної політики.</w:t>
      </w:r>
    </w:p>
    <w:p w:rsidR="00D35187" w:rsidRPr="003236EC" w:rsidRDefault="00D35187">
      <w:pPr>
        <w:rPr>
          <w:lang w:val="uk-UA"/>
        </w:rPr>
      </w:pPr>
    </w:p>
    <w:sectPr w:rsidR="00D35187" w:rsidRPr="003236EC" w:rsidSect="00723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6EC"/>
    <w:rsid w:val="0000594B"/>
    <w:rsid w:val="002B7E3F"/>
    <w:rsid w:val="003236EC"/>
    <w:rsid w:val="0037160B"/>
    <w:rsid w:val="004B0B6F"/>
    <w:rsid w:val="00614D27"/>
    <w:rsid w:val="00620BB8"/>
    <w:rsid w:val="00723AE0"/>
    <w:rsid w:val="00952399"/>
    <w:rsid w:val="00CC2183"/>
    <w:rsid w:val="00D35187"/>
    <w:rsid w:val="00F8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2019-01-10T07:24:00Z</dcterms:created>
  <dcterms:modified xsi:type="dcterms:W3CDTF">2019-01-10T07:24:00Z</dcterms:modified>
</cp:coreProperties>
</file>