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theme/themeOverride6.xml" ContentType="application/vnd.openxmlformats-officedocument.themeOverride+xml"/>
  <Override PartName="/word/charts/chart22.xml" ContentType="application/vnd.openxmlformats-officedocument.drawingml.chart+xml"/>
  <Override PartName="/word/theme/themeOverride7.xml" ContentType="application/vnd.openxmlformats-officedocument.themeOverride+xml"/>
  <Override PartName="/word/charts/chart23.xml" ContentType="application/vnd.openxmlformats-officedocument.drawingml.chart+xml"/>
  <Override PartName="/word/theme/themeOverride8.xml" ContentType="application/vnd.openxmlformats-officedocument.themeOverride+xml"/>
  <Override PartName="/word/charts/chart24.xml" ContentType="application/vnd.openxmlformats-officedocument.drawingml.chart+xml"/>
  <Override PartName="/word/theme/themeOverride9.xml" ContentType="application/vnd.openxmlformats-officedocument.themeOverride+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07E" w:rsidRPr="009345DE" w:rsidRDefault="0028107E" w:rsidP="00B5562F">
      <w:pPr>
        <w:tabs>
          <w:tab w:val="left" w:pos="993"/>
          <w:tab w:val="left" w:pos="4140"/>
        </w:tabs>
        <w:spacing w:after="0"/>
        <w:ind w:left="7371"/>
        <w:jc w:val="both"/>
        <w:rPr>
          <w:rFonts w:ascii="Times New Roman" w:hAnsi="Times New Roman" w:cs="Times New Roman"/>
          <w:sz w:val="24"/>
          <w:szCs w:val="24"/>
        </w:rPr>
      </w:pPr>
    </w:p>
    <w:p w:rsidR="007C1A6E" w:rsidRPr="001D5C78" w:rsidRDefault="0098746D" w:rsidP="0098746D">
      <w:pPr>
        <w:jc w:val="center"/>
        <w:rPr>
          <w:rFonts w:ascii="Times New Roman" w:hAnsi="Times New Roman" w:cs="Times New Roman"/>
          <w:b/>
          <w:sz w:val="28"/>
          <w:szCs w:val="28"/>
          <w:lang w:val="uk-UA"/>
        </w:rPr>
      </w:pPr>
      <w:r w:rsidRPr="001D5C78">
        <w:rPr>
          <w:rFonts w:ascii="Times New Roman" w:hAnsi="Times New Roman" w:cs="Times New Roman"/>
          <w:b/>
          <w:sz w:val="28"/>
          <w:szCs w:val="28"/>
          <w:lang w:val="uk-UA"/>
        </w:rPr>
        <w:t>І. Аналітична інформація соціально-економічного розвитку</w:t>
      </w:r>
    </w:p>
    <w:p w:rsidR="001D5C78" w:rsidRPr="001D5C78" w:rsidRDefault="0098746D" w:rsidP="0098746D">
      <w:pPr>
        <w:jc w:val="center"/>
        <w:rPr>
          <w:rFonts w:ascii="Times New Roman" w:hAnsi="Times New Roman" w:cs="Times New Roman"/>
          <w:b/>
          <w:sz w:val="28"/>
          <w:szCs w:val="28"/>
          <w:lang w:val="uk-UA"/>
        </w:rPr>
      </w:pPr>
      <w:r w:rsidRPr="001D5C78">
        <w:rPr>
          <w:rFonts w:ascii="Times New Roman" w:hAnsi="Times New Roman" w:cs="Times New Roman"/>
          <w:b/>
          <w:sz w:val="28"/>
          <w:szCs w:val="28"/>
          <w:lang w:val="uk-UA"/>
        </w:rPr>
        <w:t>Недригайлівського району за 2013 рік</w:t>
      </w:r>
      <w:bookmarkStart w:id="0" w:name="_GoBack"/>
      <w:bookmarkEnd w:id="0"/>
    </w:p>
    <w:p w:rsidR="001D5C78" w:rsidRPr="001D5C78" w:rsidRDefault="001D5C78" w:rsidP="00130636">
      <w:pPr>
        <w:pStyle w:val="a3"/>
        <w:numPr>
          <w:ilvl w:val="0"/>
          <w:numId w:val="1"/>
        </w:numPr>
        <w:spacing w:after="0" w:line="240" w:lineRule="auto"/>
        <w:jc w:val="center"/>
        <w:rPr>
          <w:rFonts w:ascii="Times New Roman" w:hAnsi="Times New Roman" w:cs="Times New Roman"/>
          <w:b/>
          <w:sz w:val="28"/>
          <w:szCs w:val="28"/>
          <w:lang w:val="uk-UA"/>
        </w:rPr>
      </w:pPr>
      <w:r w:rsidRPr="001D5C78">
        <w:rPr>
          <w:rFonts w:ascii="Times New Roman" w:hAnsi="Times New Roman" w:cs="Times New Roman"/>
          <w:b/>
          <w:sz w:val="28"/>
          <w:szCs w:val="28"/>
          <w:lang w:val="uk-UA"/>
        </w:rPr>
        <w:t>Промисловість.</w:t>
      </w:r>
    </w:p>
    <w:p w:rsidR="001D5C78" w:rsidRDefault="001D5C78" w:rsidP="001D5C78">
      <w:pPr>
        <w:spacing w:after="0" w:line="240" w:lineRule="auto"/>
        <w:ind w:left="851"/>
        <w:jc w:val="both"/>
        <w:rPr>
          <w:rFonts w:ascii="Times New Roman" w:hAnsi="Times New Roman" w:cs="Times New Roman"/>
          <w:sz w:val="28"/>
          <w:szCs w:val="28"/>
          <w:lang w:val="uk-UA"/>
        </w:rPr>
      </w:pPr>
      <w:r w:rsidRPr="001D5C78">
        <w:rPr>
          <w:rFonts w:ascii="Times New Roman" w:hAnsi="Times New Roman" w:cs="Times New Roman"/>
          <w:sz w:val="28"/>
          <w:szCs w:val="28"/>
          <w:lang w:val="uk-UA"/>
        </w:rPr>
        <w:t>В районі з 01 січня 2013 року підприємства промисловості відсутні.</w:t>
      </w:r>
    </w:p>
    <w:p w:rsidR="005206D4" w:rsidRDefault="005206D4" w:rsidP="001D5C78">
      <w:pPr>
        <w:spacing w:after="0" w:line="240" w:lineRule="auto"/>
        <w:ind w:left="851"/>
        <w:jc w:val="both"/>
        <w:rPr>
          <w:rFonts w:ascii="Times New Roman" w:hAnsi="Times New Roman" w:cs="Times New Roman"/>
          <w:sz w:val="28"/>
          <w:szCs w:val="28"/>
          <w:lang w:val="uk-UA"/>
        </w:rPr>
      </w:pPr>
    </w:p>
    <w:p w:rsidR="001D5C78" w:rsidRDefault="00130636" w:rsidP="00130636">
      <w:pPr>
        <w:spacing w:after="0" w:line="240" w:lineRule="auto"/>
        <w:ind w:left="851"/>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r w:rsidR="001D5C78" w:rsidRPr="005206D4">
        <w:rPr>
          <w:rFonts w:ascii="Times New Roman" w:hAnsi="Times New Roman" w:cs="Times New Roman"/>
          <w:b/>
          <w:sz w:val="28"/>
          <w:szCs w:val="28"/>
          <w:lang w:val="uk-UA"/>
        </w:rPr>
        <w:t>Агропромисловий комплекс</w:t>
      </w:r>
    </w:p>
    <w:p w:rsidR="00130636" w:rsidRDefault="00130636" w:rsidP="00D97470">
      <w:pPr>
        <w:spacing w:after="0" w:line="240" w:lineRule="auto"/>
        <w:ind w:firstLine="709"/>
        <w:jc w:val="both"/>
        <w:rPr>
          <w:rFonts w:ascii="Times New Roman" w:hAnsi="Times New Roman"/>
          <w:sz w:val="28"/>
          <w:lang w:val="uk-UA"/>
        </w:rPr>
      </w:pPr>
      <w:r>
        <w:rPr>
          <w:rFonts w:ascii="Times New Roman" w:hAnsi="Times New Roman"/>
          <w:sz w:val="28"/>
          <w:lang w:val="uk-UA"/>
        </w:rPr>
        <w:t>Сільськогосподарське виробництво є однією з основних галузей, яка забезпечує населення продуктами харчування, а переробні підприємства – сільськогосподарською  сировиною.</w:t>
      </w:r>
    </w:p>
    <w:p w:rsidR="00130636" w:rsidRDefault="00130636" w:rsidP="00130636">
      <w:pPr>
        <w:spacing w:after="0" w:line="240" w:lineRule="auto"/>
        <w:jc w:val="both"/>
        <w:rPr>
          <w:rFonts w:ascii="Times New Roman" w:hAnsi="Times New Roman"/>
          <w:sz w:val="28"/>
          <w:lang w:val="uk-UA"/>
        </w:rPr>
      </w:pPr>
      <w:r>
        <w:rPr>
          <w:rFonts w:ascii="Times New Roman" w:hAnsi="Times New Roman"/>
          <w:sz w:val="28"/>
          <w:lang w:val="uk-UA"/>
        </w:rPr>
        <w:t xml:space="preserve">          Саме</w:t>
      </w:r>
      <w:r w:rsidR="00D97470">
        <w:rPr>
          <w:rFonts w:ascii="Times New Roman" w:hAnsi="Times New Roman"/>
          <w:sz w:val="28"/>
          <w:lang w:val="uk-UA"/>
        </w:rPr>
        <w:t xml:space="preserve"> розвиток аграрного виробництва</w:t>
      </w:r>
      <w:r>
        <w:rPr>
          <w:rFonts w:ascii="Times New Roman" w:hAnsi="Times New Roman"/>
          <w:sz w:val="28"/>
          <w:lang w:val="uk-UA"/>
        </w:rPr>
        <w:t xml:space="preserve">, результати господарювання великою мірою визначають загальні показники валового виробництва.           </w:t>
      </w:r>
    </w:p>
    <w:p w:rsidR="00130636" w:rsidRDefault="00130636" w:rsidP="00130636">
      <w:pPr>
        <w:spacing w:after="0" w:line="240" w:lineRule="auto"/>
        <w:jc w:val="both"/>
        <w:rPr>
          <w:rFonts w:ascii="Times New Roman" w:hAnsi="Times New Roman"/>
          <w:sz w:val="28"/>
          <w:lang w:val="uk-UA"/>
        </w:rPr>
      </w:pPr>
      <w:r>
        <w:rPr>
          <w:rFonts w:ascii="Times New Roman" w:hAnsi="Times New Roman"/>
          <w:sz w:val="28"/>
          <w:lang w:val="uk-UA"/>
        </w:rPr>
        <w:t xml:space="preserve">         Агро</w:t>
      </w:r>
      <w:r w:rsidRPr="00054C56">
        <w:rPr>
          <w:rFonts w:ascii="Times New Roman" w:hAnsi="Times New Roman"/>
          <w:sz w:val="28"/>
          <w:lang w:val="uk-UA"/>
        </w:rPr>
        <w:t xml:space="preserve">промисловий </w:t>
      </w:r>
      <w:r>
        <w:rPr>
          <w:rFonts w:ascii="Times New Roman" w:hAnsi="Times New Roman"/>
          <w:sz w:val="28"/>
          <w:lang w:val="uk-UA"/>
        </w:rPr>
        <w:t xml:space="preserve"> комплекс району представлений двома  основними галузями  рослинництвом і тваринництвом.</w:t>
      </w:r>
    </w:p>
    <w:p w:rsidR="00130636" w:rsidRDefault="00130636" w:rsidP="00130636">
      <w:pPr>
        <w:spacing w:after="0" w:line="240" w:lineRule="auto"/>
        <w:jc w:val="both"/>
        <w:rPr>
          <w:rFonts w:ascii="Times New Roman" w:hAnsi="Times New Roman"/>
          <w:sz w:val="28"/>
          <w:lang w:val="uk-UA"/>
        </w:rPr>
      </w:pPr>
      <w:r>
        <w:rPr>
          <w:rFonts w:ascii="Times New Roman" w:hAnsi="Times New Roman"/>
          <w:sz w:val="28"/>
          <w:lang w:val="uk-UA"/>
        </w:rPr>
        <w:t xml:space="preserve">         По всіх категоріях господарств району в 2012 році вироблено валової продукції сільського господарст</w:t>
      </w:r>
      <w:r w:rsidR="00F27D87">
        <w:rPr>
          <w:rFonts w:ascii="Times New Roman" w:hAnsi="Times New Roman"/>
          <w:sz w:val="28"/>
          <w:lang w:val="uk-UA"/>
        </w:rPr>
        <w:t xml:space="preserve">ва 532,8 млн. гривень , що на  </w:t>
      </w:r>
      <w:r>
        <w:rPr>
          <w:rFonts w:ascii="Times New Roman" w:hAnsi="Times New Roman"/>
          <w:sz w:val="28"/>
          <w:lang w:val="uk-UA"/>
        </w:rPr>
        <w:t xml:space="preserve">8,7 % більше до попереднього року, </w:t>
      </w:r>
      <w:r w:rsidR="00F27D87">
        <w:rPr>
          <w:rFonts w:ascii="Times New Roman" w:hAnsi="Times New Roman"/>
          <w:sz w:val="28"/>
          <w:lang w:val="uk-UA"/>
        </w:rPr>
        <w:t>по області цей показник склав 4,7%.  П</w:t>
      </w:r>
      <w:r>
        <w:rPr>
          <w:rFonts w:ascii="Times New Roman" w:hAnsi="Times New Roman"/>
          <w:sz w:val="28"/>
          <w:lang w:val="uk-UA"/>
        </w:rPr>
        <w:t>о сільськогосподарських підприємствах</w:t>
      </w:r>
      <w:r w:rsidR="00F27D87">
        <w:rPr>
          <w:rFonts w:ascii="Times New Roman" w:hAnsi="Times New Roman"/>
          <w:sz w:val="28"/>
          <w:lang w:val="uk-UA"/>
        </w:rPr>
        <w:t xml:space="preserve"> </w:t>
      </w:r>
      <w:r>
        <w:rPr>
          <w:rFonts w:ascii="Times New Roman" w:hAnsi="Times New Roman"/>
          <w:sz w:val="28"/>
          <w:lang w:val="uk-UA"/>
        </w:rPr>
        <w:t>-</w:t>
      </w:r>
      <w:r w:rsidR="00F27D87">
        <w:rPr>
          <w:rFonts w:ascii="Times New Roman" w:hAnsi="Times New Roman"/>
          <w:sz w:val="28"/>
          <w:lang w:val="uk-UA"/>
        </w:rPr>
        <w:t xml:space="preserve"> </w:t>
      </w:r>
      <w:r>
        <w:rPr>
          <w:rFonts w:ascii="Times New Roman" w:hAnsi="Times New Roman"/>
          <w:sz w:val="28"/>
          <w:lang w:val="uk-UA"/>
        </w:rPr>
        <w:t>276,1 млн. гривень,</w:t>
      </w:r>
      <w:r w:rsidR="00F27D87">
        <w:rPr>
          <w:rFonts w:ascii="Times New Roman" w:hAnsi="Times New Roman"/>
          <w:sz w:val="28"/>
          <w:lang w:val="uk-UA"/>
        </w:rPr>
        <w:t xml:space="preserve"> </w:t>
      </w:r>
      <w:r w:rsidR="00C862FF">
        <w:rPr>
          <w:rFonts w:ascii="Times New Roman" w:hAnsi="Times New Roman"/>
          <w:sz w:val="28"/>
          <w:lang w:val="uk-UA"/>
        </w:rPr>
        <w:t xml:space="preserve">що більше на </w:t>
      </w:r>
      <w:r>
        <w:rPr>
          <w:rFonts w:ascii="Times New Roman" w:hAnsi="Times New Roman"/>
          <w:sz w:val="28"/>
          <w:lang w:val="uk-UA"/>
        </w:rPr>
        <w:t xml:space="preserve">18,6%, господарствах населення 256,6 млн.грн.. </w:t>
      </w:r>
    </w:p>
    <w:p w:rsidR="00130636" w:rsidRDefault="00A651AD" w:rsidP="00130636">
      <w:pPr>
        <w:spacing w:after="0" w:line="240" w:lineRule="auto"/>
        <w:jc w:val="both"/>
        <w:rPr>
          <w:rFonts w:ascii="Times New Roman" w:hAnsi="Times New Roman"/>
          <w:sz w:val="28"/>
          <w:lang w:val="uk-UA"/>
        </w:rPr>
      </w:pPr>
      <w:r>
        <w:rPr>
          <w:rFonts w:ascii="Times New Roman" w:hAnsi="Times New Roman"/>
          <w:sz w:val="28"/>
          <w:lang w:val="uk-UA"/>
        </w:rPr>
        <w:t xml:space="preserve">          В 2013 році </w:t>
      </w:r>
      <w:r w:rsidRPr="00A651AD">
        <w:rPr>
          <w:rFonts w:ascii="Times New Roman" w:hAnsi="Times New Roman"/>
          <w:sz w:val="28"/>
          <w:lang w:val="uk-UA"/>
        </w:rPr>
        <w:t xml:space="preserve"> </w:t>
      </w:r>
      <w:r>
        <w:rPr>
          <w:rFonts w:ascii="Times New Roman" w:hAnsi="Times New Roman"/>
          <w:sz w:val="28"/>
          <w:lang w:val="uk-UA"/>
        </w:rPr>
        <w:t>виробництво валової продукції сільського господарства</w:t>
      </w:r>
      <w:r w:rsidR="00130636">
        <w:rPr>
          <w:rFonts w:ascii="Times New Roman" w:hAnsi="Times New Roman"/>
          <w:sz w:val="28"/>
          <w:lang w:val="uk-UA"/>
        </w:rPr>
        <w:t xml:space="preserve"> </w:t>
      </w:r>
      <w:r w:rsidR="00787593">
        <w:rPr>
          <w:rFonts w:ascii="Times New Roman" w:hAnsi="Times New Roman"/>
          <w:sz w:val="28"/>
          <w:lang w:val="uk-UA"/>
        </w:rPr>
        <w:t xml:space="preserve">склало - </w:t>
      </w:r>
      <w:r w:rsidR="00130636">
        <w:rPr>
          <w:rFonts w:ascii="Times New Roman" w:hAnsi="Times New Roman"/>
          <w:sz w:val="28"/>
          <w:lang w:val="uk-UA"/>
        </w:rPr>
        <w:t>636,4 млн. гривень по всіх категоріях гос</w:t>
      </w:r>
      <w:r w:rsidR="007025AA">
        <w:rPr>
          <w:rFonts w:ascii="Times New Roman" w:hAnsi="Times New Roman"/>
          <w:sz w:val="28"/>
          <w:lang w:val="uk-UA"/>
        </w:rPr>
        <w:t>подарств, що становить 119,4%, та</w:t>
      </w:r>
      <w:r w:rsidR="00130636">
        <w:rPr>
          <w:rFonts w:ascii="Times New Roman" w:hAnsi="Times New Roman"/>
          <w:sz w:val="28"/>
          <w:lang w:val="uk-UA"/>
        </w:rPr>
        <w:t xml:space="preserve"> більше на 4% від обласного показника, в тому числі по сільськогосподарських підприємствам</w:t>
      </w:r>
      <w:r w:rsidR="007025AA">
        <w:rPr>
          <w:rFonts w:ascii="Times New Roman" w:hAnsi="Times New Roman"/>
          <w:sz w:val="28"/>
          <w:lang w:val="uk-UA"/>
        </w:rPr>
        <w:t xml:space="preserve"> </w:t>
      </w:r>
      <w:r w:rsidR="00130636">
        <w:rPr>
          <w:rFonts w:ascii="Times New Roman" w:hAnsi="Times New Roman"/>
          <w:sz w:val="28"/>
          <w:lang w:val="uk-UA"/>
        </w:rPr>
        <w:t>-367,0 млн. гривень,по господарствам населення</w:t>
      </w:r>
      <w:r w:rsidR="007025AA">
        <w:rPr>
          <w:rFonts w:ascii="Times New Roman" w:hAnsi="Times New Roman"/>
          <w:sz w:val="28"/>
          <w:lang w:val="uk-UA"/>
        </w:rPr>
        <w:t xml:space="preserve"> </w:t>
      </w:r>
      <w:r w:rsidR="00130636">
        <w:rPr>
          <w:rFonts w:ascii="Times New Roman" w:hAnsi="Times New Roman"/>
          <w:sz w:val="28"/>
          <w:lang w:val="uk-UA"/>
        </w:rPr>
        <w:t>-269,5 млн. гривень.</w:t>
      </w:r>
    </w:p>
    <w:p w:rsidR="007025AA" w:rsidRPr="00075844" w:rsidRDefault="007025AA" w:rsidP="007025AA">
      <w:pPr>
        <w:jc w:val="center"/>
        <w:rPr>
          <w:b/>
          <w:sz w:val="28"/>
          <w:szCs w:val="28"/>
          <w:lang w:val="uk-UA"/>
        </w:rPr>
      </w:pPr>
      <w:r w:rsidRPr="00075844">
        <w:rPr>
          <w:b/>
          <w:sz w:val="28"/>
          <w:szCs w:val="28"/>
          <w:lang w:val="uk-UA"/>
        </w:rPr>
        <w:t xml:space="preserve">Виробництво валової продукції по    сільськогосподарських </w:t>
      </w:r>
      <w:r>
        <w:rPr>
          <w:b/>
          <w:sz w:val="28"/>
          <w:szCs w:val="28"/>
          <w:lang w:val="uk-UA"/>
        </w:rPr>
        <w:t xml:space="preserve">     </w:t>
      </w:r>
      <w:r w:rsidRPr="00075844">
        <w:rPr>
          <w:b/>
          <w:sz w:val="28"/>
          <w:szCs w:val="28"/>
          <w:lang w:val="uk-UA"/>
        </w:rPr>
        <w:t xml:space="preserve">підприємствах району    за 2011-2013 роки </w:t>
      </w:r>
      <w:r>
        <w:rPr>
          <w:b/>
          <w:sz w:val="28"/>
          <w:szCs w:val="28"/>
          <w:lang w:val="uk-UA"/>
        </w:rPr>
        <w:t>(млн.грн.)</w:t>
      </w:r>
    </w:p>
    <w:p w:rsidR="00130636" w:rsidRDefault="00130636" w:rsidP="00130636">
      <w:pPr>
        <w:spacing w:after="0" w:line="240" w:lineRule="auto"/>
        <w:jc w:val="both"/>
        <w:rPr>
          <w:lang w:val="uk-UA"/>
        </w:rPr>
      </w:pPr>
      <w:r>
        <w:rPr>
          <w:rFonts w:ascii="Times New Roman" w:hAnsi="Times New Roman"/>
          <w:noProof/>
          <w:sz w:val="28"/>
        </w:rPr>
        <w:drawing>
          <wp:inline distT="0" distB="0" distL="0" distR="0">
            <wp:extent cx="5514975" cy="2305050"/>
            <wp:effectExtent l="19050" t="0" r="9525" b="0"/>
            <wp:docPr id="31" name="Объект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30636" w:rsidRDefault="00130636" w:rsidP="00130636">
      <w:pPr>
        <w:pStyle w:val="21"/>
        <w:spacing w:after="0"/>
        <w:ind w:firstLine="0"/>
      </w:pPr>
      <w:r>
        <w:t xml:space="preserve">         Аналізуючи стан агропромислового комплексу району необхідно відмітити, що розвиток рослинництва здійснювався шляхом підвищення родючості землі та запровадження сучасних технологій, що сприяло забезпеченню стабільності та ефективності використання земель сільськогосподарського призначення, забезпечення проведення посівів </w:t>
      </w:r>
      <w:r>
        <w:lastRenderedPageBreak/>
        <w:t>сільськогосподарських культур насінням сортів і гібридів високих репродукцій.</w:t>
      </w:r>
    </w:p>
    <w:p w:rsidR="00130636" w:rsidRDefault="00130636" w:rsidP="00130636">
      <w:pPr>
        <w:pStyle w:val="21"/>
        <w:spacing w:after="0"/>
      </w:pPr>
      <w:r>
        <w:t xml:space="preserve">В цілому по району основну частину ріллі обробляють фірми -інвестори, що дає можливість в повній мірі використовувати землі в сільськогосподарському виробництві. </w:t>
      </w:r>
    </w:p>
    <w:p w:rsidR="00130636" w:rsidRDefault="00130636" w:rsidP="00130636">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По району по всіх категоріях господарств обробляється 62,4 тис. гектарів, з них посівні площі зернових культур складають близько 70 %. </w:t>
      </w:r>
    </w:p>
    <w:p w:rsidR="00130636" w:rsidRDefault="00130636" w:rsidP="00130636">
      <w:pPr>
        <w:spacing w:after="0" w:line="240" w:lineRule="auto"/>
        <w:ind w:firstLine="709"/>
        <w:jc w:val="both"/>
        <w:rPr>
          <w:rFonts w:ascii="Times New Roman" w:hAnsi="Times New Roman"/>
          <w:sz w:val="28"/>
          <w:lang w:val="uk-UA"/>
        </w:rPr>
      </w:pPr>
      <w:r>
        <w:rPr>
          <w:rFonts w:ascii="Times New Roman" w:hAnsi="Times New Roman"/>
          <w:sz w:val="28"/>
          <w:lang w:val="uk-UA"/>
        </w:rPr>
        <w:t>Одним із основних показників, якими характеризується ефективність використання землі є підвищення врожайності сільськогосподарських культур.</w:t>
      </w:r>
    </w:p>
    <w:p w:rsidR="00130636" w:rsidRDefault="00130636" w:rsidP="00130636">
      <w:pPr>
        <w:spacing w:after="0" w:line="240" w:lineRule="auto"/>
        <w:ind w:firstLine="709"/>
        <w:jc w:val="both"/>
        <w:rPr>
          <w:rFonts w:ascii="Times New Roman" w:hAnsi="Times New Roman"/>
          <w:sz w:val="28"/>
        </w:rPr>
      </w:pPr>
      <w:r>
        <w:rPr>
          <w:rFonts w:ascii="Times New Roman" w:hAnsi="Times New Roman"/>
          <w:sz w:val="28"/>
          <w:lang w:val="uk-UA"/>
        </w:rPr>
        <w:t>В рослинницькій галузі проводиться робота над  збільшенням урожайності основних сільськогосподарських культур.</w:t>
      </w:r>
    </w:p>
    <w:p w:rsidR="00130636" w:rsidRDefault="00130636" w:rsidP="00130636">
      <w:pPr>
        <w:spacing w:after="0" w:line="240" w:lineRule="auto"/>
        <w:ind w:firstLine="709"/>
        <w:jc w:val="both"/>
        <w:rPr>
          <w:rFonts w:ascii="Times New Roman" w:hAnsi="Times New Roman"/>
          <w:sz w:val="28"/>
          <w:lang w:val="uk-UA"/>
        </w:rPr>
      </w:pPr>
      <w:r>
        <w:rPr>
          <w:rFonts w:ascii="Times New Roman" w:hAnsi="Times New Roman"/>
          <w:sz w:val="28"/>
          <w:lang w:val="uk-UA"/>
        </w:rPr>
        <w:t>Під урожай 2011 та 2012  року було внесено по 3 тисячі тонн  поживних речовин мінеральних добрив, або 60,1 та 60,5 кілограм  діючої речовини на 1 гектар посівної площі. За 2013 рік цей показник становить 70,5 кг на 1 гектар.</w:t>
      </w:r>
    </w:p>
    <w:p w:rsidR="00130636" w:rsidRDefault="00130636" w:rsidP="00130636">
      <w:pPr>
        <w:spacing w:after="0" w:line="240" w:lineRule="auto"/>
        <w:jc w:val="both"/>
        <w:rPr>
          <w:rFonts w:ascii="Times New Roman" w:hAnsi="Times New Roman"/>
          <w:sz w:val="28"/>
          <w:lang w:val="uk-UA"/>
        </w:rPr>
      </w:pPr>
      <w:r>
        <w:rPr>
          <w:rFonts w:ascii="Times New Roman" w:hAnsi="Times New Roman"/>
          <w:sz w:val="28"/>
          <w:lang w:val="uk-UA"/>
        </w:rPr>
        <w:t xml:space="preserve">           І як результат цієї  роботи за 2012 рік по сільськогосподарським підприємствах району валовий збір зернових та зернобобових культур склав 143,4 тис. тонн, що більше на 7,7 тис. тонн від попереднього 2011 року. Урожайність склала 44,</w:t>
      </w:r>
      <w:r w:rsidR="006569E1">
        <w:rPr>
          <w:rFonts w:ascii="Times New Roman" w:hAnsi="Times New Roman"/>
          <w:sz w:val="28"/>
          <w:lang w:val="uk-UA"/>
        </w:rPr>
        <w:t>6 ц/га, що була більше на 4,2 ц</w:t>
      </w:r>
      <w:r>
        <w:rPr>
          <w:rFonts w:ascii="Times New Roman" w:hAnsi="Times New Roman"/>
          <w:sz w:val="28"/>
          <w:lang w:val="uk-UA"/>
        </w:rPr>
        <w:t xml:space="preserve">/га до рівня 2011 року. </w:t>
      </w:r>
    </w:p>
    <w:p w:rsidR="00130636" w:rsidRDefault="00130636" w:rsidP="00130636">
      <w:pPr>
        <w:spacing w:after="0" w:line="240" w:lineRule="auto"/>
        <w:ind w:firstLine="708"/>
        <w:jc w:val="both"/>
        <w:rPr>
          <w:rFonts w:ascii="Times New Roman" w:hAnsi="Times New Roman"/>
          <w:sz w:val="28"/>
          <w:lang w:val="uk-UA"/>
        </w:rPr>
      </w:pPr>
      <w:r>
        <w:rPr>
          <w:rFonts w:ascii="Times New Roman" w:hAnsi="Times New Roman"/>
          <w:sz w:val="28"/>
        </w:rPr>
        <w:t>В 2013 році  валовий збі</w:t>
      </w:r>
      <w:proofErr w:type="gramStart"/>
      <w:r>
        <w:rPr>
          <w:rFonts w:ascii="Times New Roman" w:hAnsi="Times New Roman"/>
          <w:sz w:val="28"/>
        </w:rPr>
        <w:t>р</w:t>
      </w:r>
      <w:proofErr w:type="gramEnd"/>
      <w:r>
        <w:rPr>
          <w:rFonts w:ascii="Times New Roman" w:hAnsi="Times New Roman"/>
          <w:sz w:val="28"/>
        </w:rPr>
        <w:t xml:space="preserve"> зернових та зернобобових культур</w:t>
      </w:r>
      <w:r>
        <w:rPr>
          <w:rFonts w:ascii="Times New Roman" w:hAnsi="Times New Roman"/>
          <w:sz w:val="28"/>
          <w:lang w:val="uk-UA"/>
        </w:rPr>
        <w:t xml:space="preserve"> по всіх категоріях господарств</w:t>
      </w:r>
      <w:r>
        <w:rPr>
          <w:rFonts w:ascii="Times New Roman" w:hAnsi="Times New Roman"/>
          <w:sz w:val="28"/>
        </w:rPr>
        <w:t xml:space="preserve"> склав </w:t>
      </w:r>
      <w:r>
        <w:rPr>
          <w:rFonts w:ascii="Times New Roman" w:hAnsi="Times New Roman"/>
          <w:sz w:val="28"/>
          <w:lang w:val="uk-UA"/>
        </w:rPr>
        <w:t xml:space="preserve">159,7 тис.тонн в тому числі по сільськогосподарських підприємствах  </w:t>
      </w:r>
      <w:r>
        <w:rPr>
          <w:rFonts w:ascii="Times New Roman" w:hAnsi="Times New Roman"/>
          <w:sz w:val="28"/>
        </w:rPr>
        <w:t>15</w:t>
      </w:r>
      <w:r>
        <w:rPr>
          <w:rFonts w:ascii="Times New Roman" w:hAnsi="Times New Roman"/>
          <w:sz w:val="28"/>
          <w:lang w:val="uk-UA"/>
        </w:rPr>
        <w:t>0</w:t>
      </w:r>
      <w:r>
        <w:rPr>
          <w:rFonts w:ascii="Times New Roman" w:hAnsi="Times New Roman"/>
          <w:sz w:val="28"/>
        </w:rPr>
        <w:t>,3 тис. тонн, що</w:t>
      </w:r>
      <w:r>
        <w:rPr>
          <w:rFonts w:ascii="Times New Roman" w:hAnsi="Times New Roman"/>
          <w:sz w:val="28"/>
          <w:lang w:val="uk-UA"/>
        </w:rPr>
        <w:t xml:space="preserve"> </w:t>
      </w:r>
      <w:r>
        <w:rPr>
          <w:rFonts w:ascii="Times New Roman" w:hAnsi="Times New Roman"/>
          <w:sz w:val="28"/>
        </w:rPr>
        <w:t xml:space="preserve"> більше на </w:t>
      </w:r>
      <w:r>
        <w:rPr>
          <w:rFonts w:ascii="Times New Roman" w:hAnsi="Times New Roman"/>
          <w:sz w:val="28"/>
          <w:lang w:val="uk-UA"/>
        </w:rPr>
        <w:t xml:space="preserve">7 </w:t>
      </w:r>
      <w:r>
        <w:rPr>
          <w:rFonts w:ascii="Times New Roman" w:hAnsi="Times New Roman"/>
          <w:sz w:val="28"/>
        </w:rPr>
        <w:t>тис. тонн</w:t>
      </w:r>
      <w:r>
        <w:rPr>
          <w:rFonts w:ascii="Times New Roman" w:hAnsi="Times New Roman"/>
          <w:sz w:val="28"/>
          <w:lang w:val="uk-UA"/>
        </w:rPr>
        <w:t xml:space="preserve"> </w:t>
      </w:r>
      <w:r>
        <w:rPr>
          <w:rFonts w:ascii="Times New Roman" w:hAnsi="Times New Roman"/>
          <w:sz w:val="28"/>
        </w:rPr>
        <w:t xml:space="preserve"> від </w:t>
      </w:r>
      <w:r>
        <w:rPr>
          <w:rFonts w:ascii="Times New Roman" w:hAnsi="Times New Roman"/>
          <w:sz w:val="28"/>
          <w:lang w:val="uk-UA"/>
        </w:rPr>
        <w:t xml:space="preserve"> </w:t>
      </w:r>
      <w:r>
        <w:rPr>
          <w:rFonts w:ascii="Times New Roman" w:hAnsi="Times New Roman"/>
          <w:sz w:val="28"/>
        </w:rPr>
        <w:t>2012 року. Урожайність склала 5</w:t>
      </w:r>
      <w:r>
        <w:rPr>
          <w:rFonts w:ascii="Times New Roman" w:hAnsi="Times New Roman"/>
          <w:sz w:val="28"/>
          <w:lang w:val="uk-UA"/>
        </w:rPr>
        <w:t>4,3</w:t>
      </w:r>
      <w:r w:rsidR="0079534E">
        <w:rPr>
          <w:rFonts w:ascii="Times New Roman" w:hAnsi="Times New Roman"/>
          <w:sz w:val="28"/>
        </w:rPr>
        <w:t xml:space="preserve"> ц</w:t>
      </w:r>
      <w:r>
        <w:rPr>
          <w:rFonts w:ascii="Times New Roman" w:hAnsi="Times New Roman"/>
          <w:sz w:val="28"/>
        </w:rPr>
        <w:t xml:space="preserve">/га, що більше на </w:t>
      </w:r>
      <w:r>
        <w:rPr>
          <w:rFonts w:ascii="Times New Roman" w:hAnsi="Times New Roman"/>
          <w:sz w:val="28"/>
          <w:lang w:val="uk-UA"/>
        </w:rPr>
        <w:t>9,7</w:t>
      </w:r>
      <w:r w:rsidR="0079534E">
        <w:rPr>
          <w:rFonts w:ascii="Times New Roman" w:hAnsi="Times New Roman"/>
          <w:sz w:val="28"/>
        </w:rPr>
        <w:t xml:space="preserve"> ц</w:t>
      </w:r>
      <w:r>
        <w:rPr>
          <w:rFonts w:ascii="Times New Roman" w:hAnsi="Times New Roman"/>
          <w:sz w:val="28"/>
        </w:rPr>
        <w:t xml:space="preserve">/га до </w:t>
      </w:r>
      <w:proofErr w:type="gramStart"/>
      <w:r>
        <w:rPr>
          <w:rFonts w:ascii="Times New Roman" w:hAnsi="Times New Roman"/>
          <w:sz w:val="28"/>
        </w:rPr>
        <w:t>р</w:t>
      </w:r>
      <w:proofErr w:type="gramEnd"/>
      <w:r>
        <w:rPr>
          <w:rFonts w:ascii="Times New Roman" w:hAnsi="Times New Roman"/>
          <w:sz w:val="28"/>
        </w:rPr>
        <w:t xml:space="preserve">івня 2012 року. </w:t>
      </w:r>
    </w:p>
    <w:p w:rsidR="0079534E" w:rsidRPr="0079534E" w:rsidRDefault="0079534E" w:rsidP="00130636">
      <w:pPr>
        <w:spacing w:after="0" w:line="240" w:lineRule="auto"/>
        <w:ind w:firstLine="708"/>
        <w:jc w:val="both"/>
        <w:rPr>
          <w:rFonts w:ascii="Times New Roman" w:hAnsi="Times New Roman"/>
          <w:sz w:val="28"/>
          <w:lang w:val="uk-UA"/>
        </w:rPr>
      </w:pPr>
    </w:p>
    <w:p w:rsidR="00130636" w:rsidRDefault="00130636" w:rsidP="00130636">
      <w:pPr>
        <w:spacing w:after="0" w:line="240" w:lineRule="auto"/>
        <w:ind w:firstLine="708"/>
        <w:jc w:val="both"/>
        <w:rPr>
          <w:rFonts w:ascii="Times New Roman" w:hAnsi="Times New Roman"/>
          <w:sz w:val="28"/>
          <w:lang w:val="uk-UA"/>
        </w:rPr>
      </w:pPr>
      <w:r>
        <w:rPr>
          <w:rFonts w:ascii="Times New Roman" w:hAnsi="Times New Roman"/>
          <w:noProof/>
          <w:sz w:val="28"/>
        </w:rPr>
        <w:drawing>
          <wp:inline distT="0" distB="0" distL="0" distR="0">
            <wp:extent cx="4991100" cy="2619375"/>
            <wp:effectExtent l="19050" t="0" r="19050" b="0"/>
            <wp:docPr id="32" name="Объект 3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9534E" w:rsidRDefault="00130636" w:rsidP="00130636">
      <w:pPr>
        <w:spacing w:line="240" w:lineRule="auto"/>
        <w:rPr>
          <w:rFonts w:ascii="Times New Roman" w:hAnsi="Times New Roman"/>
          <w:sz w:val="28"/>
          <w:szCs w:val="28"/>
          <w:lang w:val="uk-UA"/>
        </w:rPr>
      </w:pPr>
      <w:r w:rsidRPr="00075844">
        <w:rPr>
          <w:rFonts w:ascii="Times New Roman" w:hAnsi="Times New Roman"/>
          <w:sz w:val="28"/>
          <w:szCs w:val="28"/>
          <w:lang w:val="uk-UA"/>
        </w:rPr>
        <w:t xml:space="preserve">    </w:t>
      </w:r>
      <w:r>
        <w:rPr>
          <w:rFonts w:ascii="Times New Roman" w:hAnsi="Times New Roman"/>
          <w:sz w:val="28"/>
          <w:szCs w:val="28"/>
          <w:lang w:val="uk-UA"/>
        </w:rPr>
        <w:t xml:space="preserve">        </w:t>
      </w:r>
    </w:p>
    <w:p w:rsidR="00130636" w:rsidRPr="003F489E" w:rsidRDefault="00130636" w:rsidP="00130636">
      <w:pPr>
        <w:spacing w:line="240" w:lineRule="auto"/>
        <w:rPr>
          <w:rFonts w:ascii="Times New Roman" w:hAnsi="Times New Roman"/>
          <w:b/>
          <w:color w:val="0070C0"/>
          <w:sz w:val="28"/>
          <w:szCs w:val="28"/>
          <w:lang w:val="uk-UA"/>
        </w:rPr>
      </w:pPr>
      <w:r>
        <w:rPr>
          <w:rFonts w:ascii="Times New Roman" w:hAnsi="Times New Roman"/>
          <w:sz w:val="28"/>
          <w:szCs w:val="28"/>
          <w:lang w:val="uk-UA"/>
        </w:rPr>
        <w:t xml:space="preserve">           </w:t>
      </w:r>
      <w:r w:rsidRPr="003F489E">
        <w:rPr>
          <w:rFonts w:ascii="Times New Roman" w:hAnsi="Times New Roman"/>
          <w:b/>
          <w:color w:val="FF0000"/>
          <w:sz w:val="28"/>
          <w:szCs w:val="28"/>
          <w:lang w:val="uk-UA"/>
        </w:rPr>
        <w:t xml:space="preserve">Урожайність  зернових культур в ц/га за 2011-2013 рок  </w:t>
      </w:r>
      <w:r w:rsidRPr="003F489E">
        <w:rPr>
          <w:rFonts w:ascii="Times New Roman" w:hAnsi="Times New Roman"/>
          <w:b/>
          <w:color w:val="0070C0"/>
          <w:sz w:val="28"/>
          <w:szCs w:val="28"/>
          <w:lang w:val="uk-UA"/>
        </w:rPr>
        <w:t>Внесення мінеральних добрив в кг/діючої речовини на 1га за 2011-2013 роки</w:t>
      </w:r>
    </w:p>
    <w:p w:rsidR="0079534E" w:rsidRPr="00075844" w:rsidRDefault="0079534E" w:rsidP="00130636">
      <w:pPr>
        <w:spacing w:line="240" w:lineRule="auto"/>
        <w:rPr>
          <w:rFonts w:ascii="Times New Roman" w:hAnsi="Times New Roman"/>
          <w:color w:val="FF0000"/>
          <w:sz w:val="28"/>
          <w:szCs w:val="28"/>
          <w:lang w:val="uk-UA"/>
        </w:rPr>
      </w:pPr>
    </w:p>
    <w:p w:rsidR="0079534E" w:rsidRDefault="0079534E" w:rsidP="00D86880">
      <w:pPr>
        <w:spacing w:after="0" w:line="240" w:lineRule="auto"/>
        <w:jc w:val="center"/>
        <w:rPr>
          <w:rFonts w:ascii="Times New Roman" w:hAnsi="Times New Roman"/>
          <w:b/>
          <w:noProof/>
          <w:sz w:val="28"/>
          <w:lang w:val="uk-UA"/>
        </w:rPr>
      </w:pPr>
      <w:r w:rsidRPr="0039466B">
        <w:rPr>
          <w:rFonts w:ascii="Times New Roman" w:hAnsi="Times New Roman"/>
          <w:b/>
          <w:noProof/>
          <w:sz w:val="28"/>
          <w:lang w:val="uk-UA"/>
        </w:rPr>
        <w:lastRenderedPageBreak/>
        <w:t>Урожайність зернових к</w:t>
      </w:r>
      <w:r>
        <w:rPr>
          <w:rFonts w:ascii="Times New Roman" w:hAnsi="Times New Roman"/>
          <w:b/>
          <w:noProof/>
          <w:sz w:val="28"/>
          <w:lang w:val="uk-UA"/>
        </w:rPr>
        <w:t xml:space="preserve">ультур за 2013 рік в розрізі сільськогосподарських </w:t>
      </w:r>
      <w:r w:rsidRPr="0039466B">
        <w:rPr>
          <w:rFonts w:ascii="Times New Roman" w:hAnsi="Times New Roman"/>
          <w:b/>
          <w:noProof/>
          <w:sz w:val="28"/>
          <w:lang w:val="uk-UA"/>
        </w:rPr>
        <w:t xml:space="preserve"> підприємст</w:t>
      </w:r>
      <w:r>
        <w:rPr>
          <w:rFonts w:ascii="Times New Roman" w:hAnsi="Times New Roman"/>
          <w:b/>
          <w:noProof/>
          <w:sz w:val="28"/>
          <w:lang w:val="uk-UA"/>
        </w:rPr>
        <w:t>в району.</w:t>
      </w:r>
    </w:p>
    <w:p w:rsidR="00D86880" w:rsidRPr="001322E5" w:rsidRDefault="00D86880" w:rsidP="0079534E">
      <w:pPr>
        <w:spacing w:after="0" w:line="240" w:lineRule="auto"/>
        <w:jc w:val="both"/>
        <w:rPr>
          <w:rFonts w:ascii="Times New Roman" w:hAnsi="Times New Roman"/>
          <w:noProof/>
          <w:sz w:val="28"/>
          <w:lang w:val="uk-UA"/>
        </w:rPr>
      </w:pPr>
    </w:p>
    <w:p w:rsidR="00130636" w:rsidRDefault="00130636" w:rsidP="00130636">
      <w:pPr>
        <w:spacing w:after="0" w:line="240" w:lineRule="auto"/>
        <w:jc w:val="both"/>
        <w:rPr>
          <w:rFonts w:ascii="Times New Roman" w:hAnsi="Times New Roman"/>
          <w:noProof/>
          <w:sz w:val="28"/>
          <w:lang w:val="uk-UA"/>
        </w:rPr>
      </w:pPr>
      <w:r>
        <w:rPr>
          <w:rFonts w:ascii="Times New Roman" w:hAnsi="Times New Roman"/>
          <w:noProof/>
          <w:sz w:val="28"/>
        </w:rPr>
        <w:drawing>
          <wp:inline distT="0" distB="0" distL="0" distR="0">
            <wp:extent cx="5464175" cy="2547620"/>
            <wp:effectExtent l="19050" t="0" r="22225" b="5080"/>
            <wp:docPr id="33"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30636" w:rsidRDefault="00130636" w:rsidP="00130636">
      <w:pPr>
        <w:spacing w:after="0" w:line="240" w:lineRule="auto"/>
        <w:ind w:firstLine="708"/>
        <w:jc w:val="both"/>
        <w:rPr>
          <w:rFonts w:ascii="Times New Roman" w:hAnsi="Times New Roman"/>
          <w:noProof/>
          <w:sz w:val="28"/>
          <w:lang w:val="uk-UA"/>
        </w:rPr>
      </w:pPr>
    </w:p>
    <w:p w:rsidR="00130636" w:rsidRDefault="00130636" w:rsidP="00130636">
      <w:pPr>
        <w:spacing w:after="0" w:line="240" w:lineRule="auto"/>
        <w:ind w:firstLine="708"/>
        <w:jc w:val="both"/>
        <w:rPr>
          <w:rFonts w:ascii="Times New Roman" w:hAnsi="Times New Roman"/>
          <w:sz w:val="28"/>
        </w:rPr>
      </w:pPr>
      <w:r>
        <w:rPr>
          <w:rFonts w:ascii="Times New Roman" w:hAnsi="Times New Roman"/>
          <w:sz w:val="28"/>
        </w:rPr>
        <w:t>Це дало змогу в повній мі</w:t>
      </w:r>
      <w:proofErr w:type="gramStart"/>
      <w:r>
        <w:rPr>
          <w:rFonts w:ascii="Times New Roman" w:hAnsi="Times New Roman"/>
          <w:sz w:val="28"/>
        </w:rPr>
        <w:t>р</w:t>
      </w:r>
      <w:proofErr w:type="gramEnd"/>
      <w:r>
        <w:rPr>
          <w:rFonts w:ascii="Times New Roman" w:hAnsi="Times New Roman"/>
          <w:sz w:val="28"/>
        </w:rPr>
        <w:t>і створити тримісячний незнижуваний запас сільськогосподарської продукції для забезпечення регіональних потреб району.</w:t>
      </w:r>
    </w:p>
    <w:p w:rsidR="00130636" w:rsidRDefault="00130636" w:rsidP="00130636">
      <w:pPr>
        <w:spacing w:after="0" w:line="240" w:lineRule="auto"/>
        <w:ind w:firstLine="708"/>
        <w:jc w:val="both"/>
        <w:rPr>
          <w:rFonts w:ascii="Times New Roman" w:hAnsi="Times New Roman"/>
          <w:sz w:val="28"/>
          <w:lang w:val="uk-UA"/>
        </w:rPr>
      </w:pPr>
      <w:r>
        <w:rPr>
          <w:rFonts w:ascii="Times New Roman" w:hAnsi="Times New Roman"/>
          <w:sz w:val="28"/>
          <w:lang w:val="uk-UA"/>
        </w:rPr>
        <w:t>Незважаючи на несприятливі погодні умови в районі під урожай 2014 року посіяно  6,3 тис. гектарів  озимих зернових культур, що становить 104% від прогнозу.</w:t>
      </w:r>
    </w:p>
    <w:p w:rsidR="00130636" w:rsidRDefault="00130636" w:rsidP="00130636">
      <w:pPr>
        <w:spacing w:after="0" w:line="240" w:lineRule="auto"/>
        <w:ind w:firstLine="708"/>
        <w:jc w:val="both"/>
        <w:rPr>
          <w:rFonts w:ascii="Times New Roman" w:hAnsi="Times New Roman"/>
          <w:sz w:val="28"/>
        </w:rPr>
      </w:pPr>
      <w:r>
        <w:rPr>
          <w:rFonts w:ascii="Times New Roman" w:hAnsi="Times New Roman"/>
          <w:sz w:val="28"/>
        </w:rPr>
        <w:t xml:space="preserve">В районі спостерігається тенденція до збільшення </w:t>
      </w:r>
      <w:proofErr w:type="gramStart"/>
      <w:r>
        <w:rPr>
          <w:rFonts w:ascii="Times New Roman" w:hAnsi="Times New Roman"/>
          <w:sz w:val="28"/>
        </w:rPr>
        <w:t>пос</w:t>
      </w:r>
      <w:proofErr w:type="gramEnd"/>
      <w:r>
        <w:rPr>
          <w:rFonts w:ascii="Times New Roman" w:hAnsi="Times New Roman"/>
          <w:sz w:val="28"/>
        </w:rPr>
        <w:t>івних площ і валових зборів насіння с</w:t>
      </w:r>
      <w:r w:rsidR="00456082">
        <w:rPr>
          <w:rFonts w:ascii="Times New Roman" w:hAnsi="Times New Roman"/>
          <w:sz w:val="28"/>
        </w:rPr>
        <w:t xml:space="preserve">оняшнику та зерна сої.  </w:t>
      </w:r>
      <w:r w:rsidR="00456082">
        <w:rPr>
          <w:rFonts w:ascii="Times New Roman" w:hAnsi="Times New Roman"/>
          <w:sz w:val="28"/>
          <w:lang w:val="uk-UA"/>
        </w:rPr>
        <w:t>З</w:t>
      </w:r>
      <w:r>
        <w:rPr>
          <w:rFonts w:ascii="Times New Roman" w:hAnsi="Times New Roman"/>
          <w:sz w:val="28"/>
        </w:rPr>
        <w:t>а 2012 рік було отримано по району 24,4 тис. тонн с</w:t>
      </w:r>
      <w:r w:rsidR="00456082">
        <w:rPr>
          <w:rFonts w:ascii="Times New Roman" w:hAnsi="Times New Roman"/>
          <w:sz w:val="28"/>
        </w:rPr>
        <w:t xml:space="preserve">оняшнику та 6 тис. тонн сої, </w:t>
      </w:r>
      <w:r>
        <w:rPr>
          <w:rFonts w:ascii="Times New Roman" w:hAnsi="Times New Roman"/>
          <w:sz w:val="28"/>
        </w:rPr>
        <w:t xml:space="preserve"> в 2013 році отримано відповідно 37,3 та 10 тис. тонн, або більше від попереднього року соняшнику на 13 тис</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т</w:t>
      </w:r>
      <w:proofErr w:type="gramEnd"/>
      <w:r>
        <w:rPr>
          <w:rFonts w:ascii="Times New Roman" w:hAnsi="Times New Roman"/>
          <w:sz w:val="28"/>
        </w:rPr>
        <w:t xml:space="preserve">онн, сої на 4 тис. тонн. </w:t>
      </w:r>
    </w:p>
    <w:p w:rsidR="00130636" w:rsidRDefault="00130636" w:rsidP="00130636">
      <w:pPr>
        <w:spacing w:after="0" w:line="240" w:lineRule="auto"/>
        <w:ind w:firstLine="708"/>
        <w:jc w:val="both"/>
        <w:rPr>
          <w:rFonts w:ascii="Times New Roman" w:hAnsi="Times New Roman"/>
          <w:sz w:val="28"/>
        </w:rPr>
      </w:pPr>
      <w:r>
        <w:rPr>
          <w:rFonts w:ascii="Times New Roman" w:hAnsi="Times New Roman"/>
          <w:sz w:val="28"/>
        </w:rPr>
        <w:t xml:space="preserve">Приємно відзначити, що Недригайлівський район став лідером у виробництві картоплі та овочів </w:t>
      </w:r>
      <w:proofErr w:type="gramStart"/>
      <w:r>
        <w:rPr>
          <w:rFonts w:ascii="Times New Roman" w:hAnsi="Times New Roman"/>
          <w:sz w:val="28"/>
        </w:rPr>
        <w:t>в</w:t>
      </w:r>
      <w:proofErr w:type="gramEnd"/>
      <w:r>
        <w:rPr>
          <w:rFonts w:ascii="Times New Roman" w:hAnsi="Times New Roman"/>
          <w:sz w:val="28"/>
        </w:rPr>
        <w:t xml:space="preserve"> області.</w:t>
      </w:r>
    </w:p>
    <w:p w:rsidR="00130636" w:rsidRDefault="00130636" w:rsidP="00130636">
      <w:pPr>
        <w:spacing w:after="0" w:line="240" w:lineRule="auto"/>
        <w:ind w:firstLine="708"/>
        <w:jc w:val="both"/>
        <w:rPr>
          <w:rFonts w:ascii="Times New Roman" w:hAnsi="Times New Roman"/>
          <w:sz w:val="28"/>
          <w:lang w:val="uk-UA"/>
        </w:rPr>
      </w:pPr>
      <w:r>
        <w:rPr>
          <w:rFonts w:ascii="Times New Roman" w:hAnsi="Times New Roman"/>
          <w:sz w:val="28"/>
          <w:lang w:val="uk-UA"/>
        </w:rPr>
        <w:t>Якщо загальна площа посадки картоплі в області складає 584,9 гектарів, то в Недригайлівському районі це 276 гектарів, що становить 45,5 %. Посіви овочів по області складають 157,7 гектарів, в тому числі по Недригайлівському району 30,87 гектарів, що становить 19,6 %.</w:t>
      </w:r>
    </w:p>
    <w:p w:rsidR="00130636" w:rsidRDefault="00130636" w:rsidP="00130636">
      <w:pPr>
        <w:spacing w:after="0" w:line="240" w:lineRule="auto"/>
        <w:ind w:firstLine="708"/>
        <w:jc w:val="both"/>
        <w:rPr>
          <w:rFonts w:ascii="Times New Roman" w:hAnsi="Times New Roman"/>
          <w:sz w:val="28"/>
          <w:lang w:val="uk-UA"/>
        </w:rPr>
      </w:pPr>
      <w:r>
        <w:rPr>
          <w:rFonts w:ascii="Times New Roman" w:hAnsi="Times New Roman"/>
          <w:sz w:val="28"/>
          <w:lang w:val="uk-UA"/>
        </w:rPr>
        <w:t>Валовий збір картоплі по області склав 14498 тон, з яких у  Недригайлівському районі - 10614 тон, або 73% від загальної кількості.</w:t>
      </w:r>
    </w:p>
    <w:p w:rsidR="00130636" w:rsidRDefault="00130636" w:rsidP="00130636">
      <w:pPr>
        <w:spacing w:after="0" w:line="240" w:lineRule="auto"/>
        <w:ind w:firstLine="708"/>
        <w:jc w:val="both"/>
        <w:rPr>
          <w:rFonts w:ascii="Times New Roman" w:hAnsi="Times New Roman"/>
          <w:sz w:val="28"/>
          <w:lang w:val="uk-UA"/>
        </w:rPr>
      </w:pPr>
      <w:r>
        <w:rPr>
          <w:rFonts w:ascii="Times New Roman" w:hAnsi="Times New Roman"/>
          <w:sz w:val="28"/>
          <w:lang w:val="uk-UA"/>
        </w:rPr>
        <w:t>На площі 266 га зібрано більше 10 тис.тон картоплі, при середній врожайності 400 ц/га, що на 100 ц/га більше від попереднього року.</w:t>
      </w:r>
    </w:p>
    <w:p w:rsidR="00130636" w:rsidRDefault="00130636" w:rsidP="00130636">
      <w:pPr>
        <w:spacing w:after="0" w:line="240" w:lineRule="auto"/>
        <w:ind w:firstLine="708"/>
        <w:jc w:val="both"/>
        <w:rPr>
          <w:rFonts w:ascii="Times New Roman" w:hAnsi="Times New Roman"/>
          <w:sz w:val="28"/>
          <w:lang w:val="uk-UA"/>
        </w:rPr>
      </w:pPr>
      <w:r>
        <w:rPr>
          <w:rFonts w:ascii="Times New Roman" w:hAnsi="Times New Roman"/>
          <w:sz w:val="28"/>
          <w:lang w:val="uk-UA"/>
        </w:rPr>
        <w:t>Врожайність столового буряка склала  582 ц/га, капусти - 680 ц/га, моркви  - 933 ц/га.</w:t>
      </w:r>
    </w:p>
    <w:p w:rsidR="00130636" w:rsidRDefault="00130636" w:rsidP="00130636">
      <w:pPr>
        <w:spacing w:after="0" w:line="240" w:lineRule="auto"/>
        <w:ind w:firstLine="708"/>
        <w:jc w:val="both"/>
        <w:rPr>
          <w:rFonts w:ascii="Times New Roman" w:hAnsi="Times New Roman"/>
          <w:sz w:val="28"/>
          <w:lang w:val="uk-UA"/>
        </w:rPr>
      </w:pPr>
      <w:r>
        <w:rPr>
          <w:rFonts w:ascii="Times New Roman" w:hAnsi="Times New Roman"/>
          <w:sz w:val="28"/>
          <w:lang w:val="uk-UA"/>
        </w:rPr>
        <w:t>Для забезпечення продовольчої безпеки ТОВ Агробізнес ТСК завершує будівництво  напільного картоплесховища на 10 тисяч тонн з 5 корпусів. Інвестиційна вартість  якого становить 12 млн.грн. з яких у 2013 році освоєно 10,8 млн. гривень. та планується ввести в експлуатацію в вересні  2014 року і освоїти 1,2 млн. гривень.</w:t>
      </w:r>
      <w:r w:rsidR="008223B2">
        <w:rPr>
          <w:rFonts w:ascii="Times New Roman" w:hAnsi="Times New Roman"/>
          <w:sz w:val="28"/>
          <w:lang w:val="uk-UA"/>
        </w:rPr>
        <w:t xml:space="preserve"> </w:t>
      </w:r>
      <w:r>
        <w:rPr>
          <w:rFonts w:ascii="Times New Roman" w:hAnsi="Times New Roman"/>
          <w:sz w:val="28"/>
          <w:lang w:val="uk-UA"/>
        </w:rPr>
        <w:t xml:space="preserve"> Планується розпоч</w:t>
      </w:r>
      <w:r w:rsidR="008223B2">
        <w:rPr>
          <w:rFonts w:ascii="Times New Roman" w:hAnsi="Times New Roman"/>
          <w:sz w:val="28"/>
          <w:lang w:val="uk-UA"/>
        </w:rPr>
        <w:t xml:space="preserve">ати будівництво цеху по </w:t>
      </w:r>
      <w:r w:rsidR="008223B2">
        <w:rPr>
          <w:rFonts w:ascii="Times New Roman" w:hAnsi="Times New Roman"/>
          <w:sz w:val="28"/>
          <w:lang w:val="uk-UA"/>
        </w:rPr>
        <w:lastRenderedPageBreak/>
        <w:t>помивці</w:t>
      </w:r>
      <w:r>
        <w:rPr>
          <w:rFonts w:ascii="Times New Roman" w:hAnsi="Times New Roman"/>
          <w:sz w:val="28"/>
          <w:lang w:val="uk-UA"/>
        </w:rPr>
        <w:t>,</w:t>
      </w:r>
      <w:r w:rsidR="008223B2">
        <w:rPr>
          <w:rFonts w:ascii="Times New Roman" w:hAnsi="Times New Roman"/>
          <w:sz w:val="28"/>
          <w:lang w:val="uk-UA"/>
        </w:rPr>
        <w:t xml:space="preserve"> </w:t>
      </w:r>
      <w:r>
        <w:rPr>
          <w:rFonts w:ascii="Times New Roman" w:hAnsi="Times New Roman"/>
          <w:sz w:val="28"/>
          <w:lang w:val="uk-UA"/>
        </w:rPr>
        <w:t>шліфуванню,</w:t>
      </w:r>
      <w:r w:rsidR="008223B2">
        <w:rPr>
          <w:rFonts w:ascii="Times New Roman" w:hAnsi="Times New Roman"/>
          <w:sz w:val="28"/>
          <w:lang w:val="uk-UA"/>
        </w:rPr>
        <w:t xml:space="preserve"> </w:t>
      </w:r>
      <w:r>
        <w:rPr>
          <w:rFonts w:ascii="Times New Roman" w:hAnsi="Times New Roman"/>
          <w:sz w:val="28"/>
          <w:lang w:val="uk-UA"/>
        </w:rPr>
        <w:t>пакуванню овочевої продукції загальною вартістю – 6 млн. гривень з яких в 2014 році планується освоїти – 4 млн. гривень.</w:t>
      </w:r>
    </w:p>
    <w:p w:rsidR="00130636" w:rsidRDefault="00130636" w:rsidP="00130636">
      <w:pPr>
        <w:spacing w:after="0" w:line="240" w:lineRule="auto"/>
        <w:ind w:firstLine="708"/>
        <w:jc w:val="both"/>
        <w:rPr>
          <w:rFonts w:ascii="Times New Roman" w:hAnsi="Times New Roman"/>
          <w:sz w:val="28"/>
          <w:lang w:val="uk-UA"/>
        </w:rPr>
      </w:pPr>
      <w:r>
        <w:rPr>
          <w:rFonts w:ascii="Times New Roman" w:hAnsi="Times New Roman"/>
          <w:sz w:val="28"/>
          <w:lang w:val="uk-UA"/>
        </w:rPr>
        <w:t>Враховуючи структуру посівних площ на 2014 рік плануємо одержати валовий збір зернових культур по всіх категоріях господарств -156,3 тис. тонн при врожайності 43,6 центнера з гектара,картоплі -74,6 тис. тонн, овочів близько 9 тис.тонн</w:t>
      </w:r>
    </w:p>
    <w:p w:rsidR="008223B2" w:rsidRDefault="00130636" w:rsidP="00130636">
      <w:pPr>
        <w:pStyle w:val="3"/>
        <w:spacing w:after="0" w:line="240" w:lineRule="auto"/>
        <w:ind w:firstLine="709"/>
      </w:pPr>
      <w:r>
        <w:t>Але разом з цим при використанні землі є деякі  проблемні питання - це  необхідність оптимізації структури посівних площ та виготовлення проектів, що забезпечують еколого-економічне обгрунтування створення сівозмін та впорядкування угідь відповідно до вимог Постанови Кабінету Міністрів України від 02.11.2011 року № 1134.</w:t>
      </w:r>
    </w:p>
    <w:p w:rsidR="00130636" w:rsidRDefault="00130636" w:rsidP="00130636">
      <w:pPr>
        <w:pStyle w:val="3"/>
        <w:spacing w:after="0" w:line="240" w:lineRule="auto"/>
        <w:ind w:firstLine="709"/>
      </w:pPr>
      <w:r>
        <w:t xml:space="preserve"> </w:t>
      </w:r>
    </w:p>
    <w:p w:rsidR="00130636" w:rsidRDefault="008223B2" w:rsidP="00130636">
      <w:pPr>
        <w:pStyle w:val="4"/>
      </w:pPr>
      <w:r>
        <w:t xml:space="preserve">                     </w:t>
      </w:r>
      <w:r w:rsidR="00130636">
        <w:t>Щодо розвитку галузі тваринництва</w:t>
      </w:r>
    </w:p>
    <w:p w:rsidR="00130636" w:rsidRDefault="00130636" w:rsidP="00130636">
      <w:pPr>
        <w:spacing w:after="0" w:line="240" w:lineRule="auto"/>
        <w:ind w:firstLine="720"/>
        <w:jc w:val="both"/>
        <w:rPr>
          <w:rFonts w:ascii="Times New Roman" w:hAnsi="Times New Roman"/>
          <w:color w:val="000000"/>
          <w:sz w:val="28"/>
          <w:lang w:val="uk-UA"/>
        </w:rPr>
      </w:pPr>
      <w:r>
        <w:rPr>
          <w:rFonts w:ascii="Times New Roman" w:hAnsi="Times New Roman"/>
          <w:color w:val="000000"/>
          <w:sz w:val="28"/>
          <w:lang w:val="uk-UA"/>
        </w:rPr>
        <w:t>Основним завданням галузі тваринництва є забезпечення населення продуктами життєдіяльност</w:t>
      </w:r>
      <w:r w:rsidR="008223B2">
        <w:rPr>
          <w:rFonts w:ascii="Times New Roman" w:hAnsi="Times New Roman"/>
          <w:color w:val="000000"/>
          <w:sz w:val="28"/>
          <w:lang w:val="uk-UA"/>
        </w:rPr>
        <w:t xml:space="preserve"> і-  виробництво молока та м</w:t>
      </w:r>
      <w:r>
        <w:rPr>
          <w:rFonts w:ascii="Times New Roman" w:hAnsi="Times New Roman"/>
          <w:color w:val="000000"/>
          <w:sz w:val="28"/>
          <w:lang w:val="uk-UA"/>
        </w:rPr>
        <w:t xml:space="preserve">яса. </w:t>
      </w:r>
    </w:p>
    <w:p w:rsidR="00130636" w:rsidRDefault="00130636" w:rsidP="00130636">
      <w:pPr>
        <w:spacing w:after="0" w:line="240" w:lineRule="auto"/>
        <w:ind w:firstLine="720"/>
        <w:jc w:val="both"/>
        <w:rPr>
          <w:rFonts w:ascii="Times New Roman" w:hAnsi="Times New Roman"/>
          <w:color w:val="000000"/>
          <w:sz w:val="28"/>
          <w:lang w:val="uk-UA"/>
        </w:rPr>
      </w:pPr>
      <w:r>
        <w:rPr>
          <w:rFonts w:ascii="Times New Roman" w:hAnsi="Times New Roman"/>
          <w:color w:val="000000"/>
          <w:sz w:val="28"/>
          <w:lang w:val="uk-UA"/>
        </w:rPr>
        <w:t xml:space="preserve">  В 2011 році валовий надій молока склав 4027</w:t>
      </w:r>
      <w:r w:rsidR="008223B2">
        <w:rPr>
          <w:rFonts w:ascii="Times New Roman" w:hAnsi="Times New Roman"/>
          <w:color w:val="000000"/>
          <w:sz w:val="28"/>
          <w:lang w:val="uk-UA"/>
        </w:rPr>
        <w:t xml:space="preserve"> </w:t>
      </w:r>
      <w:r>
        <w:rPr>
          <w:rFonts w:ascii="Times New Roman" w:hAnsi="Times New Roman"/>
          <w:color w:val="000000"/>
          <w:sz w:val="28"/>
          <w:lang w:val="uk-UA"/>
        </w:rPr>
        <w:t>тонн при середньорічному надої на корову 4007 кг.</w:t>
      </w:r>
    </w:p>
    <w:p w:rsidR="00130636" w:rsidRDefault="00130636" w:rsidP="00130636">
      <w:pPr>
        <w:spacing w:after="0" w:line="240" w:lineRule="auto"/>
        <w:ind w:firstLine="720"/>
        <w:jc w:val="both"/>
        <w:rPr>
          <w:rFonts w:ascii="Times New Roman" w:hAnsi="Times New Roman"/>
          <w:color w:val="000000"/>
          <w:sz w:val="28"/>
          <w:lang w:val="uk-UA"/>
        </w:rPr>
      </w:pPr>
    </w:p>
    <w:p w:rsidR="00130636" w:rsidRDefault="00130636" w:rsidP="00130636">
      <w:pPr>
        <w:spacing w:after="0" w:line="240" w:lineRule="auto"/>
        <w:ind w:firstLine="720"/>
        <w:jc w:val="both"/>
        <w:rPr>
          <w:lang w:val="uk-UA"/>
        </w:rPr>
      </w:pPr>
      <w:r>
        <w:rPr>
          <w:rFonts w:ascii="Times New Roman" w:hAnsi="Times New Roman"/>
          <w:noProof/>
          <w:color w:val="000000"/>
          <w:sz w:val="28"/>
        </w:rPr>
        <w:drawing>
          <wp:inline distT="0" distB="0" distL="0" distR="0">
            <wp:extent cx="5238750" cy="3028950"/>
            <wp:effectExtent l="19050" t="0" r="19050" b="0"/>
            <wp:docPr id="34" name="Объект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223B2" w:rsidRDefault="008223B2" w:rsidP="00130636">
      <w:pPr>
        <w:spacing w:after="0" w:line="240" w:lineRule="auto"/>
        <w:ind w:firstLine="720"/>
        <w:jc w:val="both"/>
        <w:rPr>
          <w:rFonts w:ascii="Times New Roman" w:hAnsi="Times New Roman"/>
          <w:color w:val="000000"/>
          <w:sz w:val="28"/>
          <w:lang w:val="uk-UA"/>
        </w:rPr>
      </w:pPr>
    </w:p>
    <w:p w:rsidR="00130636" w:rsidRDefault="00130636" w:rsidP="00130636">
      <w:pPr>
        <w:spacing w:after="0" w:line="240" w:lineRule="auto"/>
        <w:ind w:firstLine="720"/>
        <w:jc w:val="both"/>
        <w:rPr>
          <w:rFonts w:ascii="Times New Roman" w:hAnsi="Times New Roman"/>
          <w:color w:val="000000"/>
          <w:sz w:val="28"/>
          <w:lang w:val="uk-UA"/>
        </w:rPr>
      </w:pPr>
      <w:r>
        <w:rPr>
          <w:rFonts w:ascii="Times New Roman" w:hAnsi="Times New Roman"/>
          <w:color w:val="000000"/>
          <w:sz w:val="28"/>
          <w:lang w:val="uk-UA"/>
        </w:rPr>
        <w:t>З   метою  покращення якості молочної продукції в 2011 році в ТОВ АФ «Фрунзе» проведено капітальний ремонт  тваринницьких приміщень і встановлено сучасний молокопровід вітчизняного виробництва на 200 голів корів  загальною вартістю 406 тис. гривень.</w:t>
      </w:r>
    </w:p>
    <w:p w:rsidR="00130636" w:rsidRDefault="00130636" w:rsidP="00130636">
      <w:pPr>
        <w:spacing w:after="0" w:line="240" w:lineRule="auto"/>
        <w:ind w:firstLine="720"/>
        <w:jc w:val="both"/>
        <w:rPr>
          <w:rFonts w:ascii="Times New Roman" w:hAnsi="Times New Roman"/>
          <w:color w:val="000000"/>
          <w:sz w:val="28"/>
          <w:lang w:val="uk-UA"/>
        </w:rPr>
      </w:pPr>
      <w:r>
        <w:rPr>
          <w:rFonts w:ascii="Times New Roman" w:hAnsi="Times New Roman"/>
          <w:color w:val="000000"/>
          <w:sz w:val="28"/>
          <w:lang w:val="uk-UA"/>
        </w:rPr>
        <w:t>В 2012 році побудовано  два молокопроводи в ТОВ «Довіра-2008».                                 Валовий надій  в 201</w:t>
      </w:r>
      <w:r w:rsidR="008223B2">
        <w:rPr>
          <w:rFonts w:ascii="Times New Roman" w:hAnsi="Times New Roman"/>
          <w:color w:val="000000"/>
          <w:sz w:val="28"/>
          <w:lang w:val="uk-UA"/>
        </w:rPr>
        <w:t xml:space="preserve">2 році склав 5291 тонну, що на </w:t>
      </w:r>
      <w:r>
        <w:rPr>
          <w:rFonts w:ascii="Times New Roman" w:hAnsi="Times New Roman"/>
          <w:color w:val="000000"/>
          <w:sz w:val="28"/>
          <w:lang w:val="uk-UA"/>
        </w:rPr>
        <w:t>31,4 % більше до рівня 2011 року. Надій н</w:t>
      </w:r>
      <w:r w:rsidR="008223B2">
        <w:rPr>
          <w:rFonts w:ascii="Times New Roman" w:hAnsi="Times New Roman"/>
          <w:color w:val="000000"/>
          <w:sz w:val="28"/>
          <w:lang w:val="uk-UA"/>
        </w:rPr>
        <w:t xml:space="preserve">а фуражну корову збільшився на </w:t>
      </w:r>
      <w:r>
        <w:rPr>
          <w:rFonts w:ascii="Times New Roman" w:hAnsi="Times New Roman"/>
          <w:color w:val="000000"/>
          <w:sz w:val="28"/>
          <w:lang w:val="uk-UA"/>
        </w:rPr>
        <w:t>15,3% і склав 4621 кілограм. В звітному році надій зменшився на 11,6% і становить 4085 кг.</w:t>
      </w:r>
    </w:p>
    <w:p w:rsidR="00130636" w:rsidRDefault="00130636" w:rsidP="00130636">
      <w:pPr>
        <w:spacing w:after="0" w:line="240" w:lineRule="auto"/>
        <w:ind w:firstLine="720"/>
        <w:jc w:val="both"/>
        <w:rPr>
          <w:rFonts w:ascii="Times New Roman" w:hAnsi="Times New Roman"/>
          <w:color w:val="000000"/>
          <w:sz w:val="28"/>
          <w:lang w:val="uk-UA"/>
        </w:rPr>
      </w:pPr>
      <w:r>
        <w:rPr>
          <w:rFonts w:ascii="Times New Roman" w:hAnsi="Times New Roman"/>
          <w:color w:val="000000"/>
          <w:sz w:val="28"/>
          <w:lang w:val="uk-UA"/>
        </w:rPr>
        <w:t xml:space="preserve"> В 2013 році в ТОВ АФ «Довіра-2008» проведено капітальний ремонт корівника на 200 г</w:t>
      </w:r>
      <w:r w:rsidR="008A52B4">
        <w:rPr>
          <w:rFonts w:ascii="Times New Roman" w:hAnsi="Times New Roman"/>
          <w:color w:val="000000"/>
          <w:sz w:val="28"/>
          <w:lang w:val="uk-UA"/>
        </w:rPr>
        <w:t>олів з заміною 38 вікон з деревя</w:t>
      </w:r>
      <w:r>
        <w:rPr>
          <w:rFonts w:ascii="Times New Roman" w:hAnsi="Times New Roman"/>
          <w:color w:val="000000"/>
          <w:sz w:val="28"/>
          <w:lang w:val="uk-UA"/>
        </w:rPr>
        <w:t xml:space="preserve">них на пластикові та для  освітлення приміщень замінено  лампочки на енергозберігаючі а також  </w:t>
      </w:r>
      <w:r>
        <w:rPr>
          <w:rFonts w:ascii="Times New Roman" w:hAnsi="Times New Roman"/>
          <w:color w:val="000000"/>
          <w:sz w:val="28"/>
          <w:lang w:val="uk-UA"/>
        </w:rPr>
        <w:lastRenderedPageBreak/>
        <w:t>встановле</w:t>
      </w:r>
      <w:r w:rsidR="008A52B4">
        <w:rPr>
          <w:rFonts w:ascii="Times New Roman" w:hAnsi="Times New Roman"/>
          <w:color w:val="000000"/>
          <w:sz w:val="28"/>
          <w:lang w:val="uk-UA"/>
        </w:rPr>
        <w:t>но новий  наклонний транспортер</w:t>
      </w:r>
      <w:r>
        <w:rPr>
          <w:rFonts w:ascii="Times New Roman" w:hAnsi="Times New Roman"/>
          <w:color w:val="000000"/>
          <w:sz w:val="28"/>
          <w:lang w:val="uk-UA"/>
        </w:rPr>
        <w:t>. Для утримання молодняка великої рогатої худоби в приміщенні було придбано та встановлено новий транспортер для видалення гною.</w:t>
      </w:r>
    </w:p>
    <w:p w:rsidR="00BB1C27" w:rsidRDefault="00BB1C27" w:rsidP="00BB1C27">
      <w:pPr>
        <w:pStyle w:val="3"/>
        <w:spacing w:after="0" w:line="240" w:lineRule="auto"/>
        <w:ind w:firstLine="0"/>
      </w:pPr>
      <w:r>
        <w:rPr>
          <w:color w:val="000000"/>
        </w:rPr>
        <w:t xml:space="preserve">           </w:t>
      </w:r>
      <w:r w:rsidR="008A52B4">
        <w:rPr>
          <w:color w:val="000000"/>
        </w:rPr>
        <w:t>По ТОВ АФ «</w:t>
      </w:r>
      <w:r w:rsidR="00130636">
        <w:rPr>
          <w:color w:val="000000"/>
        </w:rPr>
        <w:t>Фрунзе» в усіх  тваринницьких приміщеннях були замінені та встановлені нові транспортери для видалення гною в кількості 3 штук.</w:t>
      </w:r>
      <w:r>
        <w:t xml:space="preserve">                                                                                                                                                                                                         Але нажаль по сільськогосподарським  підприємствам  допущено зменшення поголів»я  великої рогатої худоби  на 4 % і становить 2104  голови , в тому числі корів на 10% і становить 1040 голів .</w:t>
      </w:r>
    </w:p>
    <w:p w:rsidR="00130636" w:rsidRDefault="00130636" w:rsidP="00130636">
      <w:pPr>
        <w:spacing w:after="0" w:line="240" w:lineRule="auto"/>
        <w:ind w:firstLine="720"/>
        <w:jc w:val="both"/>
        <w:rPr>
          <w:rFonts w:ascii="Times New Roman" w:hAnsi="Times New Roman"/>
          <w:color w:val="000000"/>
          <w:sz w:val="28"/>
          <w:lang w:val="uk-UA"/>
        </w:rPr>
      </w:pPr>
      <w:r>
        <w:rPr>
          <w:rFonts w:ascii="Times New Roman" w:hAnsi="Times New Roman"/>
          <w:color w:val="000000"/>
          <w:sz w:val="28"/>
          <w:lang w:val="uk-UA"/>
        </w:rPr>
        <w:t>В ТОВ «ППР»Посульський»проведено капітальний ремонт дв</w:t>
      </w:r>
      <w:r w:rsidR="008A52B4">
        <w:rPr>
          <w:rFonts w:ascii="Times New Roman" w:hAnsi="Times New Roman"/>
          <w:color w:val="000000"/>
          <w:sz w:val="28"/>
          <w:lang w:val="uk-UA"/>
        </w:rPr>
        <w:t>ох  приміщень для утримання  качок</w:t>
      </w:r>
      <w:r>
        <w:rPr>
          <w:rFonts w:ascii="Times New Roman" w:hAnsi="Times New Roman"/>
          <w:color w:val="000000"/>
          <w:sz w:val="28"/>
          <w:lang w:val="uk-UA"/>
        </w:rPr>
        <w:t>.</w:t>
      </w:r>
    </w:p>
    <w:p w:rsidR="00130636" w:rsidRDefault="00204B7D" w:rsidP="00130636">
      <w:pPr>
        <w:pStyle w:val="3"/>
        <w:spacing w:after="0" w:line="240" w:lineRule="auto"/>
        <w:ind w:firstLine="720"/>
      </w:pPr>
      <w:r>
        <w:t>В 2013 році  поголів</w:t>
      </w:r>
      <w:r w:rsidR="00130636">
        <w:t>я великої рогатої худоби по всіх категоріях господарств становить 7847 голів,</w:t>
      </w:r>
      <w:r>
        <w:t xml:space="preserve"> </w:t>
      </w:r>
      <w:r w:rsidR="00130636">
        <w:t xml:space="preserve">що залишилось на рівні минулого року. Поголів»я   свиней зросло на 492 голови або  на 6,3 %. Реалізація м»яса збільшилася  на 10% і становить 5388 тонн.. Виробництво яєць збільшилося  на 7,8% і склало 29431 тис.шт. </w:t>
      </w:r>
    </w:p>
    <w:p w:rsidR="00204B7D" w:rsidRPr="000D5321" w:rsidRDefault="00204B7D" w:rsidP="00204B7D">
      <w:pPr>
        <w:jc w:val="center"/>
        <w:rPr>
          <w:b/>
          <w:sz w:val="28"/>
          <w:szCs w:val="28"/>
          <w:lang w:val="uk-UA"/>
        </w:rPr>
      </w:pPr>
      <w:r w:rsidRPr="000D5321">
        <w:rPr>
          <w:b/>
          <w:sz w:val="28"/>
          <w:szCs w:val="28"/>
          <w:lang w:val="uk-UA"/>
        </w:rPr>
        <w:t>Динаміка  росту чисельності поголів»я</w:t>
      </w:r>
      <w:r>
        <w:rPr>
          <w:b/>
          <w:sz w:val="28"/>
          <w:szCs w:val="28"/>
          <w:lang w:val="uk-UA"/>
        </w:rPr>
        <w:t xml:space="preserve"> худоби та птиці </w:t>
      </w:r>
      <w:r w:rsidRPr="000D5321">
        <w:rPr>
          <w:b/>
          <w:sz w:val="28"/>
          <w:szCs w:val="28"/>
          <w:lang w:val="uk-UA"/>
        </w:rPr>
        <w:t>по усіх категоріях господарств  за 2011-2013р</w:t>
      </w:r>
    </w:p>
    <w:p w:rsidR="00130636" w:rsidRDefault="00130636" w:rsidP="00130636">
      <w:pPr>
        <w:pStyle w:val="3"/>
        <w:spacing w:after="0" w:line="240" w:lineRule="auto"/>
        <w:ind w:firstLine="720"/>
      </w:pPr>
    </w:p>
    <w:p w:rsidR="00130636" w:rsidRDefault="00130636" w:rsidP="00130636">
      <w:pPr>
        <w:pStyle w:val="3"/>
        <w:spacing w:after="0" w:line="240" w:lineRule="auto"/>
        <w:ind w:firstLine="720"/>
      </w:pPr>
      <w:r>
        <w:rPr>
          <w:noProof/>
          <w:lang w:val="ru-RU"/>
        </w:rPr>
        <w:drawing>
          <wp:inline distT="0" distB="0" distL="0" distR="0">
            <wp:extent cx="5200650" cy="2714625"/>
            <wp:effectExtent l="19050" t="0" r="19050" b="0"/>
            <wp:docPr id="35" name="Объект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100B7" w:rsidRDefault="001100B7" w:rsidP="00130636">
      <w:pPr>
        <w:pStyle w:val="3"/>
        <w:spacing w:after="0" w:line="240" w:lineRule="auto"/>
        <w:ind w:firstLine="720"/>
      </w:pPr>
    </w:p>
    <w:p w:rsidR="00130636" w:rsidRDefault="001100B7" w:rsidP="00130636">
      <w:pPr>
        <w:pStyle w:val="3"/>
        <w:spacing w:after="0" w:line="240" w:lineRule="auto"/>
        <w:ind w:firstLine="720"/>
      </w:pPr>
      <w:r>
        <w:t xml:space="preserve"> Головним</w:t>
      </w:r>
      <w:r w:rsidR="00130636">
        <w:t xml:space="preserve">  завданням в галузі тваринництва є недопущення зменшення поголів»я худоби та птиці і нарощування виробничих показників.</w:t>
      </w:r>
    </w:p>
    <w:p w:rsidR="00130636" w:rsidRDefault="00130636" w:rsidP="00130636">
      <w:pPr>
        <w:pStyle w:val="3"/>
        <w:spacing w:after="0" w:line="240" w:lineRule="auto"/>
        <w:ind w:firstLine="720"/>
      </w:pPr>
      <w:r>
        <w:t xml:space="preserve"> Основним завданням розвитку агропромислового комплексу передбачених програмою є залучення інвестицій  та виконання  виробничих карт розвитку і сільських територій . В 2013 році на  розвиток  АПК залучено інвестицій в сумі 27 млн. гривень  в тому числі на розвиток інфраструктури 10,8 млн. гривень, на придбання техніки -</w:t>
      </w:r>
      <w:r w:rsidR="00B001A1">
        <w:t xml:space="preserve"> 6,5млн.грн., </w:t>
      </w:r>
      <w:r>
        <w:t>на придбання обладнання та дощувальних машин-9,7 млн. гривень.</w:t>
      </w:r>
    </w:p>
    <w:p w:rsidR="00130636" w:rsidRDefault="00130636" w:rsidP="00130636">
      <w:pPr>
        <w:pStyle w:val="3"/>
        <w:spacing w:after="0" w:line="240" w:lineRule="auto"/>
        <w:ind w:firstLine="720"/>
      </w:pPr>
      <w:r>
        <w:t>В 2014 році планується придбати ще 2  поливні  установки  вартістю 2 млн. гривень</w:t>
      </w:r>
      <w:r w:rsidR="0033532E">
        <w:t>.</w:t>
      </w:r>
    </w:p>
    <w:p w:rsidR="00130636" w:rsidRDefault="00130636" w:rsidP="00130636">
      <w:pPr>
        <w:spacing w:after="0" w:line="240" w:lineRule="auto"/>
        <w:ind w:firstLine="720"/>
        <w:jc w:val="both"/>
        <w:rPr>
          <w:rFonts w:ascii="Times New Roman" w:hAnsi="Times New Roman"/>
          <w:color w:val="000000"/>
          <w:sz w:val="28"/>
          <w:lang w:val="uk-UA"/>
        </w:rPr>
      </w:pPr>
      <w:r>
        <w:rPr>
          <w:rFonts w:ascii="Times New Roman" w:hAnsi="Times New Roman"/>
          <w:color w:val="000000"/>
          <w:sz w:val="28"/>
          <w:lang w:val="uk-UA"/>
        </w:rPr>
        <w:lastRenderedPageBreak/>
        <w:t>Соціально-економічні угоди укладені на суму 1,4 млн. гривень що  в середньому становить 29 гривень на 1 гектар  ріллі. Отримано коштів в сумі 2,2 млн. гривень або 159,6 %. На розвиток сільських територій було заплановано 27 об</w:t>
      </w:r>
      <w:r w:rsidRPr="004A0C0B">
        <w:rPr>
          <w:rFonts w:ascii="Times New Roman" w:hAnsi="Times New Roman"/>
          <w:color w:val="000000"/>
          <w:sz w:val="28"/>
        </w:rPr>
        <w:t>’</w:t>
      </w:r>
      <w:r>
        <w:rPr>
          <w:rFonts w:ascii="Times New Roman" w:hAnsi="Times New Roman"/>
          <w:color w:val="000000"/>
          <w:sz w:val="28"/>
          <w:lang w:val="uk-UA"/>
        </w:rPr>
        <w:t>єктів, з яких виконано 24 на суму 1 млн. гривень в тому числі  проведено реконструкц</w:t>
      </w:r>
      <w:r w:rsidR="0033532E">
        <w:rPr>
          <w:rFonts w:ascii="Times New Roman" w:hAnsi="Times New Roman"/>
          <w:color w:val="000000"/>
          <w:sz w:val="28"/>
          <w:lang w:val="uk-UA"/>
        </w:rPr>
        <w:t>ію пам»ятника Шевченко, ремонт б</w:t>
      </w:r>
      <w:r>
        <w:rPr>
          <w:rFonts w:ascii="Times New Roman" w:hAnsi="Times New Roman"/>
          <w:color w:val="000000"/>
          <w:sz w:val="28"/>
          <w:lang w:val="uk-UA"/>
        </w:rPr>
        <w:t xml:space="preserve">удинку культури с.Рубанка, ремонт ФАП с.Козельне, виділялися кошти на будівництво водогонів, проведено дитячий фестиваль «Співаймо разом» і організована поїздка переможців на море, проведена виставка  художників ім.Кізенко. </w:t>
      </w:r>
    </w:p>
    <w:p w:rsidR="0033532E" w:rsidRPr="000D5321" w:rsidRDefault="0033532E" w:rsidP="0033532E">
      <w:pPr>
        <w:jc w:val="center"/>
        <w:rPr>
          <w:b/>
          <w:sz w:val="28"/>
          <w:szCs w:val="28"/>
          <w:lang w:val="uk-UA"/>
        </w:rPr>
      </w:pPr>
      <w:r w:rsidRPr="000D5321">
        <w:rPr>
          <w:b/>
          <w:sz w:val="28"/>
          <w:szCs w:val="28"/>
          <w:lang w:val="uk-UA"/>
        </w:rPr>
        <w:t>Виконання угод про соціально-економічну співпрацю орендарів ріллі по Недригайлівському району    за 2011-2013 роки</w:t>
      </w:r>
    </w:p>
    <w:p w:rsidR="00130636" w:rsidRDefault="00130636" w:rsidP="00130636">
      <w:pPr>
        <w:spacing w:after="0" w:line="240" w:lineRule="auto"/>
        <w:ind w:firstLine="720"/>
        <w:jc w:val="both"/>
        <w:rPr>
          <w:rFonts w:ascii="Times New Roman" w:hAnsi="Times New Roman"/>
          <w:color w:val="000000"/>
          <w:sz w:val="28"/>
          <w:lang w:val="uk-UA"/>
        </w:rPr>
      </w:pPr>
    </w:p>
    <w:p w:rsidR="00130636" w:rsidRDefault="00130636" w:rsidP="00130636">
      <w:pPr>
        <w:rPr>
          <w:sz w:val="36"/>
          <w:szCs w:val="36"/>
          <w:lang w:val="uk-UA"/>
        </w:rPr>
      </w:pPr>
      <w:r>
        <w:rPr>
          <w:rFonts w:ascii="Times New Roman" w:hAnsi="Times New Roman"/>
          <w:noProof/>
          <w:color w:val="000000"/>
          <w:sz w:val="28"/>
        </w:rPr>
        <w:drawing>
          <wp:inline distT="0" distB="0" distL="0" distR="0">
            <wp:extent cx="5457825" cy="2800350"/>
            <wp:effectExtent l="19050" t="0" r="9525" b="0"/>
            <wp:docPr id="36" name="Объект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4B7028">
        <w:rPr>
          <w:sz w:val="36"/>
          <w:szCs w:val="36"/>
          <w:lang w:val="uk-UA"/>
        </w:rPr>
        <w:t xml:space="preserve">     </w:t>
      </w:r>
      <w:r>
        <w:rPr>
          <w:sz w:val="36"/>
          <w:szCs w:val="36"/>
          <w:lang w:val="uk-UA"/>
        </w:rPr>
        <w:t xml:space="preserve"> </w:t>
      </w:r>
    </w:p>
    <w:p w:rsidR="00130636" w:rsidRDefault="00130636" w:rsidP="00130636">
      <w:pPr>
        <w:spacing w:after="0" w:line="240" w:lineRule="auto"/>
        <w:ind w:firstLine="709"/>
        <w:jc w:val="both"/>
        <w:rPr>
          <w:rFonts w:ascii="Times New Roman" w:hAnsi="Times New Roman"/>
          <w:sz w:val="28"/>
          <w:lang w:val="uk-UA"/>
        </w:rPr>
      </w:pPr>
      <w:r>
        <w:rPr>
          <w:rFonts w:ascii="Times New Roman" w:hAnsi="Times New Roman"/>
          <w:sz w:val="28"/>
          <w:lang w:val="uk-UA"/>
        </w:rPr>
        <w:t xml:space="preserve">В цілях розвитку дрібнотоварного виробництва  на території району діє  сільськогосподарський обслуговуючий кооператив «Ласуня», яким закуплено за звітний період 1715 тонн молока від населення.  По Коровинській сільській раді розпочав роботу філіал обслуговуючого сільськогосподарського кооперативу “Базис Плюс”. </w:t>
      </w:r>
    </w:p>
    <w:p w:rsidR="00130636" w:rsidRDefault="00130636" w:rsidP="00885519">
      <w:pPr>
        <w:spacing w:after="0" w:line="240" w:lineRule="auto"/>
        <w:ind w:firstLine="709"/>
        <w:jc w:val="both"/>
      </w:pPr>
      <w:r>
        <w:rPr>
          <w:rFonts w:ascii="Times New Roman" w:hAnsi="Times New Roman"/>
          <w:sz w:val="28"/>
        </w:rPr>
        <w:t xml:space="preserve">В рамках проведення обласного конкурсу «Кращий </w:t>
      </w:r>
      <w:proofErr w:type="gramStart"/>
      <w:r>
        <w:rPr>
          <w:rFonts w:ascii="Times New Roman" w:hAnsi="Times New Roman"/>
          <w:sz w:val="28"/>
        </w:rPr>
        <w:t>п</w:t>
      </w:r>
      <w:proofErr w:type="gramEnd"/>
      <w:r>
        <w:rPr>
          <w:rFonts w:ascii="Times New Roman" w:hAnsi="Times New Roman"/>
          <w:sz w:val="28"/>
        </w:rPr>
        <w:t xml:space="preserve">ідприємець 2013» </w:t>
      </w:r>
      <w:r>
        <w:rPr>
          <w:rFonts w:ascii="Times New Roman" w:hAnsi="Times New Roman"/>
          <w:sz w:val="28"/>
          <w:lang w:val="uk-UA"/>
        </w:rPr>
        <w:t>у</w:t>
      </w:r>
      <w:r>
        <w:rPr>
          <w:rFonts w:ascii="Times New Roman" w:hAnsi="Times New Roman"/>
          <w:sz w:val="28"/>
        </w:rPr>
        <w:t xml:space="preserve"> номінації «Кращий </w:t>
      </w:r>
      <w:r>
        <w:rPr>
          <w:rFonts w:ascii="Times New Roman" w:hAnsi="Times New Roman"/>
          <w:sz w:val="28"/>
          <w:lang w:val="uk-UA"/>
        </w:rPr>
        <w:t xml:space="preserve"> </w:t>
      </w:r>
      <w:r>
        <w:rPr>
          <w:rFonts w:ascii="Times New Roman" w:hAnsi="Times New Roman"/>
          <w:sz w:val="28"/>
        </w:rPr>
        <w:t>сільськогосподарський кооператив» переможцем визначено молочарський кооператив «Ласуня», смт. Терни на чолі з директором Красько</w:t>
      </w:r>
      <w:r>
        <w:rPr>
          <w:rFonts w:ascii="Times New Roman" w:hAnsi="Times New Roman"/>
          <w:sz w:val="28"/>
          <w:lang w:val="uk-UA"/>
        </w:rPr>
        <w:t>м</w:t>
      </w:r>
      <w:proofErr w:type="gramStart"/>
      <w:r>
        <w:rPr>
          <w:rFonts w:ascii="Times New Roman" w:hAnsi="Times New Roman"/>
          <w:sz w:val="28"/>
        </w:rPr>
        <w:t xml:space="preserve"> В</w:t>
      </w:r>
      <w:proofErr w:type="gramEnd"/>
      <w:r>
        <w:rPr>
          <w:rFonts w:ascii="Times New Roman" w:hAnsi="Times New Roman"/>
          <w:sz w:val="28"/>
        </w:rPr>
        <w:t>іктором Петров</w:t>
      </w:r>
      <w:r>
        <w:rPr>
          <w:rFonts w:ascii="Times New Roman" w:hAnsi="Times New Roman"/>
          <w:sz w:val="28"/>
          <w:lang w:val="uk-UA"/>
        </w:rPr>
        <w:t>ичем.</w:t>
      </w:r>
    </w:p>
    <w:p w:rsidR="0033532E" w:rsidRDefault="0033532E" w:rsidP="00130636">
      <w:pPr>
        <w:pStyle w:val="21"/>
        <w:spacing w:after="0"/>
      </w:pPr>
    </w:p>
    <w:p w:rsidR="00130636" w:rsidRDefault="00DA5F3A" w:rsidP="00885519">
      <w:pPr>
        <w:pStyle w:val="21"/>
        <w:spacing w:after="0"/>
        <w:jc w:val="center"/>
        <w:rPr>
          <w:b/>
        </w:rPr>
      </w:pPr>
      <w:r>
        <w:rPr>
          <w:b/>
        </w:rPr>
        <w:t>3.</w:t>
      </w:r>
      <w:r w:rsidR="00422120" w:rsidRPr="00422120">
        <w:rPr>
          <w:b/>
        </w:rPr>
        <w:t>Бюджет</w:t>
      </w:r>
    </w:p>
    <w:p w:rsidR="00422120" w:rsidRPr="00422120" w:rsidRDefault="00422120" w:rsidP="00422120">
      <w:pPr>
        <w:spacing w:after="0" w:line="240" w:lineRule="auto"/>
        <w:ind w:firstLine="708"/>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lang w:val="uk-UA"/>
        </w:rPr>
        <w:t xml:space="preserve">Доходів загального фонду (без урахування обсягів міжбюджетних трансфертів) до бюджету Недригайлівського району за 2013 рік надійшло 26896,8 тис. грн., що склало 109,2 % від затверджених місцевими радами показників та 127,6% від показників, затверджених МФУ. </w:t>
      </w:r>
      <w:r w:rsidRPr="00422120">
        <w:rPr>
          <w:rFonts w:ascii="Times New Roman" w:eastAsia="Times New Roman" w:hAnsi="Times New Roman" w:cs="Times New Roman"/>
          <w:sz w:val="28"/>
          <w:szCs w:val="28"/>
        </w:rPr>
        <w:t>В порівнянні з 2012 роком власні та закріплені надходження загального фонду бюджету  зросли на 3681,1 тис</w:t>
      </w:r>
      <w:proofErr w:type="gramStart"/>
      <w:r w:rsidRPr="00422120">
        <w:rPr>
          <w:rFonts w:ascii="Times New Roman" w:eastAsia="Times New Roman" w:hAnsi="Times New Roman" w:cs="Times New Roman"/>
          <w:sz w:val="28"/>
          <w:szCs w:val="28"/>
        </w:rPr>
        <w:t>.</w:t>
      </w:r>
      <w:proofErr w:type="gramEnd"/>
      <w:r w:rsidRPr="00422120">
        <w:rPr>
          <w:rFonts w:ascii="Times New Roman" w:eastAsia="Times New Roman" w:hAnsi="Times New Roman" w:cs="Times New Roman"/>
          <w:sz w:val="28"/>
          <w:szCs w:val="28"/>
        </w:rPr>
        <w:t xml:space="preserve"> </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 xml:space="preserve">рн. або на 15,9 відсотка. Доходів, що враховуються </w:t>
      </w:r>
      <w:r w:rsidRPr="00422120">
        <w:rPr>
          <w:rFonts w:ascii="Times New Roman" w:eastAsia="Times New Roman" w:hAnsi="Times New Roman" w:cs="Times New Roman"/>
          <w:sz w:val="28"/>
          <w:szCs w:val="28"/>
        </w:rPr>
        <w:lastRenderedPageBreak/>
        <w:t xml:space="preserve">при визначенні міжбюджетних трансфертів надійшло 16177,0 тис. грн., що становить 133,0 відсотка в порівнянні з контрольними показниками МФУ на 2013 </w:t>
      </w:r>
      <w:proofErr w:type="gramStart"/>
      <w:r w:rsidRPr="00422120">
        <w:rPr>
          <w:rFonts w:ascii="Times New Roman" w:eastAsia="Times New Roman" w:hAnsi="Times New Roman" w:cs="Times New Roman"/>
          <w:sz w:val="28"/>
          <w:szCs w:val="28"/>
        </w:rPr>
        <w:t>р</w:t>
      </w:r>
      <w:proofErr w:type="gramEnd"/>
      <w:r w:rsidRPr="00422120">
        <w:rPr>
          <w:rFonts w:ascii="Times New Roman" w:eastAsia="Times New Roman" w:hAnsi="Times New Roman" w:cs="Times New Roman"/>
          <w:sz w:val="28"/>
          <w:szCs w:val="28"/>
        </w:rPr>
        <w:t xml:space="preserve">ік та 110,0 відсотка виконання в порівнянні з показниками, затвердженими місцевими радами на 2013 рік. В порівнянні з 2012 роком надходження  доходів, що враховуються при визначенні міжбюджетних трансфертів  збільшилося на  3255,3  тис. грн. </w:t>
      </w:r>
      <w:proofErr w:type="gramStart"/>
      <w:r w:rsidRPr="00422120">
        <w:rPr>
          <w:rFonts w:ascii="Times New Roman" w:eastAsia="Times New Roman" w:hAnsi="Times New Roman" w:cs="Times New Roman"/>
          <w:sz w:val="28"/>
          <w:szCs w:val="28"/>
        </w:rPr>
        <w:t>–т</w:t>
      </w:r>
      <w:proofErr w:type="gramEnd"/>
      <w:r w:rsidRPr="00422120">
        <w:rPr>
          <w:rFonts w:ascii="Times New Roman" w:eastAsia="Times New Roman" w:hAnsi="Times New Roman" w:cs="Times New Roman"/>
          <w:sz w:val="28"/>
          <w:szCs w:val="28"/>
        </w:rPr>
        <w:t>емп зростання склав 25,2 відсотка.</w:t>
      </w:r>
    </w:p>
    <w:p w:rsidR="00422120" w:rsidRPr="00422120" w:rsidRDefault="00422120" w:rsidP="00422120">
      <w:pPr>
        <w:spacing w:after="0" w:line="240" w:lineRule="auto"/>
        <w:ind w:firstLine="708"/>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rPr>
        <w:t xml:space="preserve">Доходів, що не враховуються при визначенні міжбюджетних трансфертів надійшло 10719,8 тис. грн., що становить 120,1 відсотка в порівнянні з контрольними показниками МФУ на 2013 </w:t>
      </w:r>
      <w:proofErr w:type="gramStart"/>
      <w:r w:rsidRPr="00422120">
        <w:rPr>
          <w:rFonts w:ascii="Times New Roman" w:eastAsia="Times New Roman" w:hAnsi="Times New Roman" w:cs="Times New Roman"/>
          <w:sz w:val="28"/>
          <w:szCs w:val="28"/>
        </w:rPr>
        <w:t>р</w:t>
      </w:r>
      <w:proofErr w:type="gramEnd"/>
      <w:r w:rsidRPr="00422120">
        <w:rPr>
          <w:rFonts w:ascii="Times New Roman" w:eastAsia="Times New Roman" w:hAnsi="Times New Roman" w:cs="Times New Roman"/>
          <w:sz w:val="28"/>
          <w:szCs w:val="28"/>
        </w:rPr>
        <w:t>ік та 108,1 відсотка виконання в порівнянні з показниками, затвердженими місцевими радами на 2013 рік. В порівнянні з 2012 роком надходження  доходів, що  не враховуються при визначенні міжбюджетних трансфертів збільшилися на 425,8 тис</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рн. –темп зростання склав 4,1 відсотка.</w:t>
      </w:r>
    </w:p>
    <w:p w:rsidR="00422120" w:rsidRPr="00422120" w:rsidRDefault="00422120" w:rsidP="00422120">
      <w:pPr>
        <w:tabs>
          <w:tab w:val="left" w:pos="851"/>
          <w:tab w:val="left" w:pos="2410"/>
        </w:tabs>
        <w:spacing w:after="0" w:line="240" w:lineRule="auto"/>
        <w:jc w:val="both"/>
        <w:rPr>
          <w:rFonts w:ascii="Times New Roman" w:eastAsia="Times New Roman" w:hAnsi="Times New Roman" w:cs="Times New Roman"/>
          <w:sz w:val="28"/>
          <w:szCs w:val="28"/>
        </w:rPr>
      </w:pPr>
      <w:r w:rsidRPr="00422120">
        <w:rPr>
          <w:rFonts w:ascii="Times New Roman" w:eastAsia="Times New Roman" w:hAnsi="Times New Roman" w:cs="Times New Roman"/>
          <w:b/>
          <w:sz w:val="28"/>
          <w:szCs w:val="28"/>
        </w:rPr>
        <w:tab/>
      </w:r>
      <w:r w:rsidRPr="00422120">
        <w:rPr>
          <w:rFonts w:ascii="Times New Roman" w:eastAsia="Times New Roman" w:hAnsi="Times New Roman" w:cs="Times New Roman"/>
          <w:sz w:val="28"/>
          <w:szCs w:val="28"/>
        </w:rPr>
        <w:t xml:space="preserve">Надходження  </w:t>
      </w:r>
      <w:r w:rsidRPr="00422120">
        <w:rPr>
          <w:rFonts w:ascii="Times New Roman" w:eastAsia="Times New Roman" w:hAnsi="Times New Roman" w:cs="Times New Roman"/>
          <w:bCs/>
          <w:iCs/>
          <w:sz w:val="28"/>
          <w:szCs w:val="28"/>
        </w:rPr>
        <w:t>податку</w:t>
      </w:r>
      <w:r w:rsidRPr="00422120">
        <w:rPr>
          <w:rFonts w:ascii="Times New Roman" w:eastAsia="Times New Roman" w:hAnsi="Times New Roman" w:cs="Times New Roman"/>
          <w:sz w:val="28"/>
          <w:szCs w:val="28"/>
        </w:rPr>
        <w:t xml:space="preserve"> на </w:t>
      </w:r>
      <w:r w:rsidRPr="00422120">
        <w:rPr>
          <w:rFonts w:ascii="Times New Roman" w:eastAsia="Times New Roman" w:hAnsi="Times New Roman" w:cs="Times New Roman"/>
          <w:iCs/>
          <w:sz w:val="28"/>
          <w:szCs w:val="28"/>
        </w:rPr>
        <w:t>доходи  фізичних осіб</w:t>
      </w:r>
      <w:r w:rsidRPr="00422120">
        <w:rPr>
          <w:rFonts w:ascii="Times New Roman" w:eastAsia="Times New Roman" w:hAnsi="Times New Roman" w:cs="Times New Roman"/>
          <w:sz w:val="28"/>
          <w:szCs w:val="28"/>
        </w:rPr>
        <w:t xml:space="preserve"> за 2013 </w:t>
      </w:r>
      <w:proofErr w:type="gramStart"/>
      <w:r w:rsidRPr="00422120">
        <w:rPr>
          <w:rFonts w:ascii="Times New Roman" w:eastAsia="Times New Roman" w:hAnsi="Times New Roman" w:cs="Times New Roman"/>
          <w:sz w:val="28"/>
          <w:szCs w:val="28"/>
        </w:rPr>
        <w:t>р</w:t>
      </w:r>
      <w:proofErr w:type="gramEnd"/>
      <w:r w:rsidRPr="00422120">
        <w:rPr>
          <w:rFonts w:ascii="Times New Roman" w:eastAsia="Times New Roman" w:hAnsi="Times New Roman" w:cs="Times New Roman"/>
          <w:sz w:val="28"/>
          <w:szCs w:val="28"/>
        </w:rPr>
        <w:t>ік виконано на 110,1 % (призначено 14670,0 тис. грн., надійшло  16148,2 тис. грн.).  В порівнянні з 2012 роком надходження збільшилися на 3267,4 тис</w:t>
      </w:r>
      <w:proofErr w:type="gramStart"/>
      <w:r w:rsidRPr="00422120">
        <w:rPr>
          <w:rFonts w:ascii="Times New Roman" w:eastAsia="Times New Roman" w:hAnsi="Times New Roman" w:cs="Times New Roman"/>
          <w:sz w:val="28"/>
          <w:szCs w:val="28"/>
        </w:rPr>
        <w:t>.</w:t>
      </w:r>
      <w:proofErr w:type="gramEnd"/>
      <w:r w:rsidRPr="00422120">
        <w:rPr>
          <w:rFonts w:ascii="Times New Roman" w:eastAsia="Times New Roman" w:hAnsi="Times New Roman" w:cs="Times New Roman"/>
          <w:sz w:val="28"/>
          <w:szCs w:val="28"/>
        </w:rPr>
        <w:t xml:space="preserve"> </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 xml:space="preserve">рн. </w:t>
      </w:r>
    </w:p>
    <w:p w:rsidR="00422120" w:rsidRPr="00422120" w:rsidRDefault="00422120" w:rsidP="00422120">
      <w:pPr>
        <w:spacing w:after="0" w:line="240" w:lineRule="auto"/>
        <w:ind w:right="-220" w:firstLine="708"/>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rPr>
        <w:t xml:space="preserve">На збільшення надходжень </w:t>
      </w:r>
      <w:proofErr w:type="gramStart"/>
      <w:r w:rsidRPr="00422120">
        <w:rPr>
          <w:rFonts w:ascii="Times New Roman" w:eastAsia="Times New Roman" w:hAnsi="Times New Roman" w:cs="Times New Roman"/>
          <w:sz w:val="28"/>
          <w:szCs w:val="28"/>
        </w:rPr>
        <w:t>в</w:t>
      </w:r>
      <w:proofErr w:type="gramEnd"/>
      <w:r w:rsidRPr="00422120">
        <w:rPr>
          <w:rFonts w:ascii="Times New Roman" w:eastAsia="Times New Roman" w:hAnsi="Times New Roman" w:cs="Times New Roman"/>
          <w:sz w:val="28"/>
          <w:szCs w:val="28"/>
        </w:rPr>
        <w:t xml:space="preserve"> </w:t>
      </w:r>
      <w:proofErr w:type="gramStart"/>
      <w:r w:rsidRPr="00422120">
        <w:rPr>
          <w:rFonts w:ascii="Times New Roman" w:eastAsia="Times New Roman" w:hAnsi="Times New Roman" w:cs="Times New Roman"/>
          <w:sz w:val="28"/>
          <w:szCs w:val="28"/>
        </w:rPr>
        <w:t>пор</w:t>
      </w:r>
      <w:proofErr w:type="gramEnd"/>
      <w:r w:rsidRPr="00422120">
        <w:rPr>
          <w:rFonts w:ascii="Times New Roman" w:eastAsia="Times New Roman" w:hAnsi="Times New Roman" w:cs="Times New Roman"/>
          <w:sz w:val="28"/>
          <w:szCs w:val="28"/>
        </w:rPr>
        <w:t>івнянні з відповідним  періодом минулого року вплинуло збільшення надходжень податку, що сплачується із доходів платника податку у вигляді заробітної плати. У 2013 році доходи  збільшилися на 1264,1 тис. грн.(8960,7тис</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 xml:space="preserve">рн- за 2012 рік та 10224,8тис.грн. - за 2013 рік.) (Надходження від основних платників податку: відділ освіти - приріст надходжень склав 8%,  Недригайлівська ЦРЛ – 0,1%, ТОВ „Агро бізнес ТСК" - на 60%. ). В порівнянні з минулим роком значно зросли надходження податку за надані в оренду паї: </w:t>
      </w:r>
      <w:proofErr w:type="gramStart"/>
      <w:r w:rsidRPr="00422120">
        <w:rPr>
          <w:rFonts w:ascii="Times New Roman" w:eastAsia="Times New Roman" w:hAnsi="Times New Roman" w:cs="Times New Roman"/>
          <w:sz w:val="28"/>
          <w:szCs w:val="28"/>
        </w:rPr>
        <w:t>ТОВ</w:t>
      </w:r>
      <w:proofErr w:type="gramEnd"/>
      <w:r w:rsidRPr="00422120">
        <w:rPr>
          <w:rFonts w:ascii="Times New Roman" w:eastAsia="Times New Roman" w:hAnsi="Times New Roman" w:cs="Times New Roman"/>
          <w:sz w:val="28"/>
          <w:szCs w:val="28"/>
        </w:rPr>
        <w:t xml:space="preserve"> "Дружба Нова" - на 1796,4 тис. грн., ТОВ АФ"Довіра 2008" - на 288,8 тис. грн. </w:t>
      </w:r>
      <w:proofErr w:type="gramStart"/>
      <w:r w:rsidRPr="00422120">
        <w:rPr>
          <w:rFonts w:ascii="Times New Roman" w:eastAsia="Times New Roman" w:hAnsi="Times New Roman" w:cs="Times New Roman"/>
          <w:sz w:val="28"/>
          <w:szCs w:val="28"/>
        </w:rPr>
        <w:t>ТОВ</w:t>
      </w:r>
      <w:proofErr w:type="gramEnd"/>
      <w:r w:rsidRPr="00422120">
        <w:rPr>
          <w:rFonts w:ascii="Times New Roman" w:eastAsia="Times New Roman" w:hAnsi="Times New Roman" w:cs="Times New Roman"/>
          <w:sz w:val="28"/>
          <w:szCs w:val="28"/>
        </w:rPr>
        <w:t xml:space="preserve"> "Агробізнес ТСК" –на 61,1тис.грн; ТОВ "Лотуре Агро" - на 155,1 тис. грн., ТОВ "Урожайна країна"  збільшив надходження на 196,4 тис. грн.</w:t>
      </w:r>
    </w:p>
    <w:p w:rsidR="00422120" w:rsidRPr="00422120" w:rsidRDefault="00422120" w:rsidP="00422120">
      <w:pPr>
        <w:spacing w:after="0" w:line="240" w:lineRule="auto"/>
        <w:ind w:firstLine="708"/>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rPr>
        <w:t xml:space="preserve">По </w:t>
      </w:r>
      <w:r w:rsidRPr="00422120">
        <w:rPr>
          <w:rFonts w:ascii="Times New Roman" w:eastAsia="Times New Roman" w:hAnsi="Times New Roman" w:cs="Times New Roman"/>
          <w:iCs/>
          <w:sz w:val="28"/>
          <w:szCs w:val="28"/>
        </w:rPr>
        <w:t xml:space="preserve">платі за землю </w:t>
      </w:r>
      <w:r w:rsidRPr="00422120">
        <w:rPr>
          <w:rFonts w:ascii="Times New Roman" w:eastAsia="Times New Roman" w:hAnsi="Times New Roman" w:cs="Times New Roman"/>
          <w:sz w:val="28"/>
          <w:szCs w:val="28"/>
        </w:rPr>
        <w:t>виконання становить 108,5 % (призначено 9193,4 тис</w:t>
      </w:r>
      <w:proofErr w:type="gramStart"/>
      <w:r w:rsidRPr="00422120">
        <w:rPr>
          <w:rFonts w:ascii="Times New Roman" w:eastAsia="Times New Roman" w:hAnsi="Times New Roman" w:cs="Times New Roman"/>
          <w:sz w:val="28"/>
          <w:szCs w:val="28"/>
        </w:rPr>
        <w:t>.</w:t>
      </w:r>
      <w:proofErr w:type="gramEnd"/>
      <w:r w:rsidRPr="00422120">
        <w:rPr>
          <w:rFonts w:ascii="Times New Roman" w:eastAsia="Times New Roman" w:hAnsi="Times New Roman" w:cs="Times New Roman"/>
          <w:sz w:val="28"/>
          <w:szCs w:val="28"/>
        </w:rPr>
        <w:t xml:space="preserve"> </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 xml:space="preserve">рн., надійшло 9972,5 тис. грн.), в порівнянні з 2012 роком надходження по платі за землю збільшилися на 417,9 тис. грн. </w:t>
      </w:r>
    </w:p>
    <w:p w:rsidR="00422120" w:rsidRPr="00422120" w:rsidRDefault="00422120" w:rsidP="00422120">
      <w:pPr>
        <w:spacing w:after="0" w:line="240" w:lineRule="auto"/>
        <w:ind w:firstLine="680"/>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rPr>
        <w:t xml:space="preserve">Дотації вирівнювання  з державного бюджету надійшло 40883,1 тис. грн.- це 100,0 % від передбаченого показника на 2013 </w:t>
      </w:r>
      <w:proofErr w:type="gramStart"/>
      <w:r w:rsidRPr="00422120">
        <w:rPr>
          <w:rFonts w:ascii="Times New Roman" w:eastAsia="Times New Roman" w:hAnsi="Times New Roman" w:cs="Times New Roman"/>
          <w:sz w:val="28"/>
          <w:szCs w:val="28"/>
        </w:rPr>
        <w:t>р</w:t>
      </w:r>
      <w:proofErr w:type="gramEnd"/>
      <w:r w:rsidRPr="00422120">
        <w:rPr>
          <w:rFonts w:ascii="Times New Roman" w:eastAsia="Times New Roman" w:hAnsi="Times New Roman" w:cs="Times New Roman"/>
          <w:sz w:val="28"/>
          <w:szCs w:val="28"/>
        </w:rPr>
        <w:t>ік.</w:t>
      </w:r>
    </w:p>
    <w:p w:rsidR="00422120" w:rsidRPr="00422120" w:rsidRDefault="00422120" w:rsidP="00422120">
      <w:pPr>
        <w:spacing w:after="0" w:line="240" w:lineRule="auto"/>
        <w:ind w:firstLine="680"/>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rPr>
        <w:t>Субвенцій  з державного бюджету отримано на загальну суму 25144,2 тис</w:t>
      </w:r>
      <w:proofErr w:type="gramStart"/>
      <w:r w:rsidRPr="00422120">
        <w:rPr>
          <w:rFonts w:ascii="Times New Roman" w:eastAsia="Times New Roman" w:hAnsi="Times New Roman" w:cs="Times New Roman"/>
          <w:sz w:val="28"/>
          <w:szCs w:val="28"/>
        </w:rPr>
        <w:t>.</w:t>
      </w:r>
      <w:proofErr w:type="gramEnd"/>
      <w:r w:rsidRPr="00422120">
        <w:rPr>
          <w:rFonts w:ascii="Times New Roman" w:eastAsia="Times New Roman" w:hAnsi="Times New Roman" w:cs="Times New Roman"/>
          <w:sz w:val="28"/>
          <w:szCs w:val="28"/>
        </w:rPr>
        <w:t xml:space="preserve"> </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рн. при плані 25526,0 тис. грн.</w:t>
      </w:r>
    </w:p>
    <w:p w:rsidR="00422120" w:rsidRPr="00422120" w:rsidRDefault="00422120" w:rsidP="00422120">
      <w:pPr>
        <w:spacing w:after="0" w:line="240" w:lineRule="auto"/>
        <w:ind w:firstLine="680"/>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rPr>
        <w:t>Інших субвенцій отримано в сумі 2152,8 тис</w:t>
      </w:r>
      <w:proofErr w:type="gramStart"/>
      <w:r w:rsidRPr="00422120">
        <w:rPr>
          <w:rFonts w:ascii="Times New Roman" w:eastAsia="Times New Roman" w:hAnsi="Times New Roman" w:cs="Times New Roman"/>
          <w:sz w:val="28"/>
          <w:szCs w:val="28"/>
        </w:rPr>
        <w:t>.</w:t>
      </w:r>
      <w:proofErr w:type="gramEnd"/>
      <w:r w:rsidRPr="00422120">
        <w:rPr>
          <w:rFonts w:ascii="Times New Roman" w:eastAsia="Times New Roman" w:hAnsi="Times New Roman" w:cs="Times New Roman"/>
          <w:sz w:val="28"/>
          <w:szCs w:val="28"/>
        </w:rPr>
        <w:t xml:space="preserve"> </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рн.</w:t>
      </w:r>
    </w:p>
    <w:p w:rsidR="00422120" w:rsidRPr="00422120" w:rsidRDefault="00422120" w:rsidP="00422120">
      <w:pPr>
        <w:spacing w:after="0" w:line="240" w:lineRule="auto"/>
        <w:ind w:firstLine="680"/>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rPr>
        <w:t>Доходів загального фонду (без урахування обсягів міжбюджетних трансфертів) до бюджету Недригайлівського району у 2014 році очікується отримати в сумі 27975,0 тис</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рн, що на 1078,2 тис.грн. більше 2013 року, темп зросту - 4%, очікуване виконання показників Міністерства фінансів України -121%, додаткові надходження – в сумі складуть близько 4849,2тис</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рн.  ПДФО у 2014 році очікується отримати в сумі 16958,0 тис</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рн, що на 809,8 тис.грн. більше 2013 року, темп зросту - 5%. Плати за землю очікується отримати 10220,0 тис,грн., що на 247,2 тис.грн. більше минулого року, темп зростання-2,5%.</w:t>
      </w:r>
    </w:p>
    <w:p w:rsidR="00422120" w:rsidRPr="00422120" w:rsidRDefault="00422120" w:rsidP="00422120">
      <w:pPr>
        <w:spacing w:after="0" w:line="240" w:lineRule="auto"/>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rPr>
        <w:lastRenderedPageBreak/>
        <w:t xml:space="preserve">    </w:t>
      </w:r>
      <w:r w:rsidRPr="00422120">
        <w:rPr>
          <w:rFonts w:ascii="Times New Roman" w:eastAsia="Times New Roman" w:hAnsi="Times New Roman" w:cs="Times New Roman"/>
          <w:sz w:val="28"/>
          <w:szCs w:val="28"/>
        </w:rPr>
        <w:tab/>
        <w:t xml:space="preserve">Видаткова частина бюджету за 2013 </w:t>
      </w:r>
      <w:proofErr w:type="gramStart"/>
      <w:r w:rsidRPr="00422120">
        <w:rPr>
          <w:rFonts w:ascii="Times New Roman" w:eastAsia="Times New Roman" w:hAnsi="Times New Roman" w:cs="Times New Roman"/>
          <w:sz w:val="28"/>
          <w:szCs w:val="28"/>
        </w:rPr>
        <w:t>р</w:t>
      </w:r>
      <w:proofErr w:type="gramEnd"/>
      <w:r w:rsidRPr="00422120">
        <w:rPr>
          <w:rFonts w:ascii="Times New Roman" w:eastAsia="Times New Roman" w:hAnsi="Times New Roman" w:cs="Times New Roman"/>
          <w:sz w:val="28"/>
          <w:szCs w:val="28"/>
        </w:rPr>
        <w:t xml:space="preserve">ік виконана  в сумі 103583,5тис.грн, що становить 96,6%, в порівнянні з 2012 роком видатки збільшилися на 8774,3 тис. грн., або на 9,3 %. </w:t>
      </w:r>
    </w:p>
    <w:p w:rsidR="00422120" w:rsidRPr="00422120" w:rsidRDefault="00422120" w:rsidP="00422120">
      <w:pPr>
        <w:spacing w:after="0" w:line="240" w:lineRule="auto"/>
        <w:ind w:firstLine="708"/>
        <w:jc w:val="both"/>
        <w:rPr>
          <w:rFonts w:ascii="Times New Roman" w:eastAsia="Times New Roman" w:hAnsi="Times New Roman" w:cs="Times New Roman"/>
          <w:sz w:val="28"/>
          <w:szCs w:val="28"/>
        </w:rPr>
      </w:pPr>
      <w:r w:rsidRPr="00422120">
        <w:rPr>
          <w:rFonts w:ascii="Times New Roman" w:eastAsia="Times New Roman" w:hAnsi="Times New Roman" w:cs="Times New Roman"/>
          <w:sz w:val="28"/>
          <w:szCs w:val="28"/>
        </w:rPr>
        <w:t xml:space="preserve">Видатки на державне управління проведені в сумі 8902,2тис.грн, що становить  91,4% . На заробітну плату з нарахуваннями  використано коштів </w:t>
      </w:r>
      <w:proofErr w:type="gramStart"/>
      <w:r w:rsidRPr="00422120">
        <w:rPr>
          <w:rFonts w:ascii="Times New Roman" w:eastAsia="Times New Roman" w:hAnsi="Times New Roman" w:cs="Times New Roman"/>
          <w:sz w:val="28"/>
          <w:szCs w:val="28"/>
        </w:rPr>
        <w:t>в</w:t>
      </w:r>
      <w:proofErr w:type="gramEnd"/>
      <w:r w:rsidRPr="00422120">
        <w:rPr>
          <w:rFonts w:ascii="Times New Roman" w:eastAsia="Times New Roman" w:hAnsi="Times New Roman" w:cs="Times New Roman"/>
          <w:sz w:val="28"/>
          <w:szCs w:val="28"/>
        </w:rPr>
        <w:t xml:space="preserve"> сумі  7979,4тис.грн, енергоносії 261,7тис.грн., порівняно з 2012 роком видатки збільшилися на 1275,8 тис. грн., в тому числі на заробітну плату з нарахуваннями 1070,3 тис. грн. , на енергоносії 19,3 тис. грн.</w:t>
      </w:r>
    </w:p>
    <w:p w:rsidR="00422120" w:rsidRPr="00422120" w:rsidRDefault="00422120" w:rsidP="00422120">
      <w:pPr>
        <w:pStyle w:val="21"/>
        <w:spacing w:after="0"/>
        <w:ind w:firstLine="708"/>
        <w:rPr>
          <w:szCs w:val="28"/>
        </w:rPr>
      </w:pPr>
      <w:r w:rsidRPr="00422120">
        <w:rPr>
          <w:szCs w:val="28"/>
        </w:rPr>
        <w:t xml:space="preserve">Видатки на утримання установ  освіти виконані в сумі  34042,7тис.грн., що становить 97,0% до уточнених призначень на рік. В тому числі видатки на заробітну плату становлять 28163,0тис. грн. або 82,7%   загальної суми видатків на освіту, видатки  на харчування проведені в сумі  1074,5 тис. грн. або 3,1%, на оплату за енергоносії видатки проведені в сумі 2845,9тис грн. або 8,4% загальної суми видатків на освіту. Дані  видатки  збільшилися у порівнянні з минулим роком на 2702,1 тис. грн., в тому числі на заробітну плату з нарахуваннями на 2181,9 тис. грн., на  харчування – 110,0 тис. грн., на енергоносії – 323,2 тис. грн.  </w:t>
      </w:r>
    </w:p>
    <w:p w:rsidR="00422120" w:rsidRPr="00422120" w:rsidRDefault="00422120" w:rsidP="00422120">
      <w:pPr>
        <w:pStyle w:val="21"/>
        <w:spacing w:after="0"/>
        <w:rPr>
          <w:szCs w:val="28"/>
        </w:rPr>
      </w:pPr>
      <w:r w:rsidRPr="00422120">
        <w:rPr>
          <w:szCs w:val="28"/>
        </w:rPr>
        <w:t xml:space="preserve">Видатки на охорону здоров’я проведені в сумі 18028,0 тис. грн. або 98,2% до уточнених  призначень на рік. В тому числі видатки на заробітну плату з нарахуваннями становлять 14976,3тис.грн., що становить 83,1% загальної суми видатків,  видатки  на медикаменти склали 595,9тис.грн. або 3,3%, на харчування становлять 142,3 тис. грн. або 0,8%,  видатки на оплату за енергоносії проведені в сумі 1490,8 тис. грн. або 8,3 від загальних видатків на  охорону здоров’я. Обсяг витрат місцевого бюджету в галузі „Охорона здоров”я” у розрахунку на одиницю населення становить 695,7 гривень. Це другий показник серед районів області. Протягом 2013 року, у порівнянні з 2012 роком, видатки збільшилися на 1005,2 тис. грн.. в тому числі на заробітну плату з нарахуваннями на 764,2 тис. грн.., на медикаменти – на 128,9 тис. грн., на продукти харчування – на 16,1 тис. грн., на енергоносії – на 120,7 тис. грн. </w:t>
      </w:r>
    </w:p>
    <w:p w:rsidR="00422120" w:rsidRPr="00422120" w:rsidRDefault="00422120" w:rsidP="00422120">
      <w:pPr>
        <w:pStyle w:val="21"/>
        <w:spacing w:after="0"/>
        <w:rPr>
          <w:szCs w:val="28"/>
        </w:rPr>
      </w:pPr>
      <w:r w:rsidRPr="00422120">
        <w:rPr>
          <w:szCs w:val="28"/>
        </w:rPr>
        <w:t>Видатки на соціальний захист проведені в сумі 28437,1 тис. грн. , та у 2012 році, дані видатки складали  26214,1 тис. грн.</w:t>
      </w:r>
    </w:p>
    <w:p w:rsidR="00422120" w:rsidRPr="00422120" w:rsidRDefault="00422120" w:rsidP="00422120">
      <w:pPr>
        <w:pStyle w:val="21"/>
        <w:spacing w:after="0"/>
        <w:ind w:firstLine="708"/>
        <w:rPr>
          <w:szCs w:val="28"/>
        </w:rPr>
      </w:pPr>
      <w:r w:rsidRPr="00422120">
        <w:rPr>
          <w:szCs w:val="28"/>
        </w:rPr>
        <w:t>Видатки по ЖКГ проведені в сумі 831,5тис.грн, що становить 71,1% до уточнених  призначень на  рік. Протягом 2012 року були проведені видатки в сумі 576,8 тис. грн..</w:t>
      </w:r>
    </w:p>
    <w:p w:rsidR="00422120" w:rsidRPr="00422120" w:rsidRDefault="00422120" w:rsidP="00422120">
      <w:pPr>
        <w:pStyle w:val="21"/>
        <w:spacing w:after="0"/>
        <w:ind w:firstLine="708"/>
        <w:rPr>
          <w:szCs w:val="28"/>
        </w:rPr>
      </w:pPr>
      <w:r w:rsidRPr="00422120">
        <w:rPr>
          <w:szCs w:val="28"/>
        </w:rPr>
        <w:t>Видатки по культурі проведені в сумі 6406,7 тис. грн. або 93,2% до  уточнених  призначень на  рік. Видатки на заробітну плату по культурі становлять 5772,2 тис. грн. або 90,1% від загальної суми видатків, на енергоносії проведені в сумі 355,2 тис. грн. або 5,5% від загальної суми видатків. Обсяг витрат місцевого бюджету в галузі „Культура та мистецтво”, у розрахунку на одиницю населення становить 247,2 гривні. Це є першим показником  серед показників районів області. В порівнянні з 2012 роком видатки збільшилися на 783,7 тис. грн., в тому числі на заробітну плату з нарахуваннями 757,0 тис. грн..</w:t>
      </w:r>
    </w:p>
    <w:p w:rsidR="00422120" w:rsidRPr="00422120" w:rsidRDefault="00422120" w:rsidP="00422120">
      <w:pPr>
        <w:pStyle w:val="21"/>
        <w:spacing w:after="0"/>
        <w:ind w:firstLine="708"/>
        <w:rPr>
          <w:szCs w:val="28"/>
        </w:rPr>
      </w:pPr>
      <w:r w:rsidRPr="00422120">
        <w:rPr>
          <w:szCs w:val="28"/>
        </w:rPr>
        <w:lastRenderedPageBreak/>
        <w:t xml:space="preserve">Видатки на фізичну культуру і спорт проведені в сумі  523,3 тис. грн. або 84,5,0% до уточнених   призначень на  рік, що в порівнянні з 2012 роком збільшилися на 36,4 тис. грн.. </w:t>
      </w:r>
    </w:p>
    <w:p w:rsidR="00422120" w:rsidRPr="00422120" w:rsidRDefault="00422120" w:rsidP="00422120">
      <w:pPr>
        <w:pStyle w:val="21"/>
        <w:spacing w:after="0"/>
        <w:ind w:firstLine="708"/>
        <w:rPr>
          <w:szCs w:val="28"/>
        </w:rPr>
      </w:pPr>
      <w:r w:rsidRPr="00422120">
        <w:rPr>
          <w:szCs w:val="28"/>
        </w:rPr>
        <w:t>Видатки на  компенсаційні виплати на пільговий проїзд автомобільним транспортом окремим категоріям громадян проведені в сумі 311,8 тис. грн. або 77,1% до уточнених   призначень на  рік. Протягом 2012 року дані видатки були проведені в сумі 239,7 тис. грн.., що на 72,1 тис. грн. менше ніж у цьому році.</w:t>
      </w:r>
    </w:p>
    <w:p w:rsidR="00422120" w:rsidRPr="00422120" w:rsidRDefault="00422120" w:rsidP="00422120">
      <w:pPr>
        <w:pStyle w:val="21"/>
        <w:spacing w:after="0"/>
        <w:ind w:firstLine="708"/>
        <w:rPr>
          <w:szCs w:val="28"/>
        </w:rPr>
      </w:pPr>
      <w:r w:rsidRPr="00422120">
        <w:rPr>
          <w:szCs w:val="28"/>
        </w:rPr>
        <w:t xml:space="preserve">Інші видатки проведені в сумі 133,7 тис. грн. (видатки на утримання архівів ). </w:t>
      </w:r>
    </w:p>
    <w:p w:rsidR="00422120" w:rsidRPr="00422120" w:rsidRDefault="00422120" w:rsidP="00422120">
      <w:pPr>
        <w:pStyle w:val="21"/>
        <w:spacing w:after="0"/>
        <w:ind w:firstLine="708"/>
        <w:rPr>
          <w:szCs w:val="28"/>
        </w:rPr>
      </w:pPr>
      <w:r w:rsidRPr="00422120">
        <w:rPr>
          <w:szCs w:val="28"/>
        </w:rPr>
        <w:t>Видатки на проведення виборів народних депутатів місцевих рад та сільських, селищних голів проведені в сумі 5,1тис.грн . Протягом 2012 року дані видатки були проведені в сумі 49,7 тис. грн.</w:t>
      </w:r>
    </w:p>
    <w:p w:rsidR="00422120" w:rsidRPr="00422120" w:rsidRDefault="00422120" w:rsidP="00422120">
      <w:pPr>
        <w:pStyle w:val="21"/>
        <w:spacing w:after="0"/>
        <w:ind w:firstLine="708"/>
        <w:rPr>
          <w:color w:val="FF0000"/>
          <w:szCs w:val="28"/>
        </w:rPr>
      </w:pPr>
      <w:r w:rsidRPr="00422120">
        <w:rPr>
          <w:szCs w:val="28"/>
        </w:rPr>
        <w:t>Дотації вирівнювання сільському та селищному бюджету надано в сумі  5215,3</w:t>
      </w:r>
      <w:r w:rsidRPr="00422120">
        <w:rPr>
          <w:color w:val="FF0000"/>
          <w:szCs w:val="28"/>
        </w:rPr>
        <w:t xml:space="preserve"> </w:t>
      </w:r>
      <w:r w:rsidRPr="00422120">
        <w:rPr>
          <w:szCs w:val="28"/>
        </w:rPr>
        <w:t>тис. грн.,  та у 2012 році дана сума складала 5090,8 тис. грн. Інша дотація надана в сумі 10000 грн..</w:t>
      </w:r>
    </w:p>
    <w:p w:rsidR="00422120" w:rsidRPr="00422120" w:rsidRDefault="00422120" w:rsidP="00422120">
      <w:pPr>
        <w:pStyle w:val="21"/>
        <w:spacing w:after="0"/>
        <w:ind w:firstLine="708"/>
        <w:rPr>
          <w:szCs w:val="28"/>
        </w:rPr>
      </w:pPr>
      <w:r w:rsidRPr="00422120">
        <w:rPr>
          <w:szCs w:val="28"/>
        </w:rPr>
        <w:t>Субвенції на утримання об’єктів спільного користування чи ліквідації негативних наслідків діяльності – 115,4 тис. грн., субвенції обласному бюджету на утримання обласного центру реабілітації дітей – інвалідів надано в сумі 63,6тис.грн, іншої субвенції - в сумі 399,2 тис. грн.</w:t>
      </w:r>
    </w:p>
    <w:p w:rsidR="00422120" w:rsidRPr="00422120" w:rsidRDefault="00422120" w:rsidP="00422120">
      <w:pPr>
        <w:pStyle w:val="21"/>
        <w:spacing w:after="0"/>
        <w:ind w:firstLine="708"/>
        <w:rPr>
          <w:szCs w:val="28"/>
        </w:rPr>
      </w:pPr>
      <w:r w:rsidRPr="00422120">
        <w:rPr>
          <w:szCs w:val="28"/>
        </w:rPr>
        <w:t>В цілому по бюджету району на заробітну плату з нарахуваннями направлено коштів в сумі 60180,6 тис. грн., що становить 58,1% до загальної суми проведених видатків, медикаменти –624,3 тис. грн. або 0,6%, продукти харчування – 1481,8 тис. грн. або 1,4%, енергоносії – 5188,6 тис. грн.  або 5,0 %, субсидії і поточні трансферти  - 32624,4 тис. грн. або 31,5% загальної суми видатків, в тому числі  органам управління   – 5958,6 тис. грн.  та трансферти населенню – 26296,8  тис. грн. У 2012 році  по бюджету району на заробітну плату з нарахуваннями було направлено коштів в сумі 54873,2 тис. грн., що становить 57,8% до загальної суми проведених видатків, медикаменти –501,0 тис. грн. або 0,5%, продукти харчування – 1241,6 тис. грн. або 1,3%, енергоносії – 5780,2 тис. грн.  або 6,1%, субсидії і поточні трансферти  - 30037,1 тис. грн. або 31,70% загальної суми видатків, в тому числі  органам управління   – 5508,2 тис. грн.  та трансферти населенню – 24217,9  тис. грн.</w:t>
      </w:r>
    </w:p>
    <w:p w:rsidR="0033532E" w:rsidRDefault="00422120" w:rsidP="0033532E">
      <w:pPr>
        <w:spacing w:after="0" w:line="240" w:lineRule="auto"/>
        <w:ind w:firstLine="708"/>
        <w:jc w:val="both"/>
        <w:rPr>
          <w:rFonts w:ascii="Times New Roman" w:eastAsia="Times New Roman" w:hAnsi="Times New Roman" w:cs="Times New Roman"/>
          <w:sz w:val="28"/>
          <w:szCs w:val="28"/>
          <w:lang w:val="uk-UA"/>
        </w:rPr>
      </w:pPr>
      <w:r w:rsidRPr="00422120">
        <w:rPr>
          <w:rFonts w:ascii="Times New Roman" w:eastAsia="Times New Roman" w:hAnsi="Times New Roman" w:cs="Times New Roman"/>
          <w:sz w:val="28"/>
          <w:szCs w:val="28"/>
        </w:rPr>
        <w:t>Капітальні видатки  проведені в сумі  3020,4 тис</w:t>
      </w:r>
      <w:proofErr w:type="gramStart"/>
      <w:r w:rsidRPr="00422120">
        <w:rPr>
          <w:rFonts w:ascii="Times New Roman" w:eastAsia="Times New Roman" w:hAnsi="Times New Roman" w:cs="Times New Roman"/>
          <w:sz w:val="28"/>
          <w:szCs w:val="28"/>
        </w:rPr>
        <w:t>.</w:t>
      </w:r>
      <w:proofErr w:type="gramEnd"/>
      <w:r w:rsidRPr="00422120">
        <w:rPr>
          <w:rFonts w:ascii="Times New Roman" w:eastAsia="Times New Roman" w:hAnsi="Times New Roman" w:cs="Times New Roman"/>
          <w:sz w:val="28"/>
          <w:szCs w:val="28"/>
        </w:rPr>
        <w:t xml:space="preserve"> </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рн. за рахунок коштів спеціального фонду. У 2012 році капітальні видатки були проведені в сумі 3208,6 тис</w:t>
      </w:r>
      <w:proofErr w:type="gramStart"/>
      <w:r w:rsidRPr="00422120">
        <w:rPr>
          <w:rFonts w:ascii="Times New Roman" w:eastAsia="Times New Roman" w:hAnsi="Times New Roman" w:cs="Times New Roman"/>
          <w:sz w:val="28"/>
          <w:szCs w:val="28"/>
        </w:rPr>
        <w:t>.</w:t>
      </w:r>
      <w:proofErr w:type="gramEnd"/>
      <w:r w:rsidRPr="00422120">
        <w:rPr>
          <w:rFonts w:ascii="Times New Roman" w:eastAsia="Times New Roman" w:hAnsi="Times New Roman" w:cs="Times New Roman"/>
          <w:sz w:val="28"/>
          <w:szCs w:val="28"/>
        </w:rPr>
        <w:t xml:space="preserve"> </w:t>
      </w:r>
      <w:proofErr w:type="gramStart"/>
      <w:r w:rsidRPr="00422120">
        <w:rPr>
          <w:rFonts w:ascii="Times New Roman" w:eastAsia="Times New Roman" w:hAnsi="Times New Roman" w:cs="Times New Roman"/>
          <w:sz w:val="28"/>
          <w:szCs w:val="28"/>
        </w:rPr>
        <w:t>г</w:t>
      </w:r>
      <w:proofErr w:type="gramEnd"/>
      <w:r w:rsidRPr="00422120">
        <w:rPr>
          <w:rFonts w:ascii="Times New Roman" w:eastAsia="Times New Roman" w:hAnsi="Times New Roman" w:cs="Times New Roman"/>
          <w:sz w:val="28"/>
          <w:szCs w:val="28"/>
        </w:rPr>
        <w:t>рн.</w:t>
      </w:r>
    </w:p>
    <w:p w:rsidR="0098746D" w:rsidRDefault="0033532E" w:rsidP="0033532E">
      <w:pPr>
        <w:spacing w:after="0" w:line="240" w:lineRule="auto"/>
        <w:ind w:firstLine="708"/>
        <w:jc w:val="both"/>
        <w:rPr>
          <w:rFonts w:ascii="Times New Roman" w:hAnsi="Times New Roman" w:cs="Times New Roman"/>
          <w:b/>
          <w:sz w:val="32"/>
          <w:szCs w:val="32"/>
          <w:lang w:val="uk-UA"/>
        </w:rPr>
      </w:pPr>
      <w:r>
        <w:rPr>
          <w:rFonts w:ascii="Times New Roman" w:eastAsia="Times New Roman" w:hAnsi="Times New Roman" w:cs="Times New Roman"/>
          <w:sz w:val="28"/>
          <w:szCs w:val="28"/>
          <w:lang w:val="uk-UA"/>
        </w:rPr>
        <w:t xml:space="preserve">                              </w:t>
      </w:r>
      <w:r w:rsidR="0098704B">
        <w:rPr>
          <w:rFonts w:ascii="Times New Roman" w:hAnsi="Times New Roman" w:cs="Times New Roman"/>
          <w:b/>
          <w:sz w:val="32"/>
          <w:szCs w:val="32"/>
          <w:lang w:val="uk-UA"/>
        </w:rPr>
        <w:t>4. Інвестиційна діяльність</w:t>
      </w:r>
    </w:p>
    <w:p w:rsidR="00DA5F3A" w:rsidRPr="00E745FD" w:rsidRDefault="00DA5F3A" w:rsidP="00DA5F3A">
      <w:pPr>
        <w:spacing w:after="0"/>
        <w:ind w:firstLine="851"/>
        <w:jc w:val="both"/>
        <w:rPr>
          <w:rFonts w:ascii="Times New Roman" w:hAnsi="Times New Roman" w:cs="Times New Roman"/>
          <w:sz w:val="28"/>
          <w:szCs w:val="28"/>
          <w:lang w:val="uk-UA"/>
        </w:rPr>
      </w:pPr>
      <w:r w:rsidRPr="00152C78">
        <w:rPr>
          <w:rFonts w:ascii="Times New Roman" w:hAnsi="Times New Roman" w:cs="Times New Roman"/>
          <w:sz w:val="28"/>
          <w:szCs w:val="28"/>
          <w:lang w:val="uk-UA"/>
        </w:rPr>
        <w:t>За 9 місяців 2013 року підприємствами та організаціями всіх форм власності освоєно 23.04 млн.</w:t>
      </w:r>
      <w:r w:rsidRPr="00E745FD">
        <w:rPr>
          <w:rFonts w:ascii="Times New Roman" w:hAnsi="Times New Roman" w:cs="Times New Roman"/>
          <w:sz w:val="28"/>
          <w:szCs w:val="28"/>
        </w:rPr>
        <w:t> </w:t>
      </w:r>
      <w:r w:rsidRPr="00152C78">
        <w:rPr>
          <w:rFonts w:ascii="Times New Roman" w:hAnsi="Times New Roman" w:cs="Times New Roman"/>
          <w:sz w:val="28"/>
          <w:szCs w:val="28"/>
          <w:lang w:val="uk-UA"/>
        </w:rPr>
        <w:t xml:space="preserve">гривень капітальних інвестицій. </w:t>
      </w:r>
      <w:r w:rsidRPr="00E745FD">
        <w:rPr>
          <w:rFonts w:ascii="Times New Roman" w:hAnsi="Times New Roman" w:cs="Times New Roman"/>
          <w:sz w:val="28"/>
          <w:szCs w:val="28"/>
        </w:rPr>
        <w:t>В розрахунку на 1 особу даний показник складає 910.9 грн</w:t>
      </w:r>
      <w:r>
        <w:rPr>
          <w:rFonts w:ascii="Times New Roman" w:hAnsi="Times New Roman" w:cs="Times New Roman"/>
          <w:sz w:val="28"/>
          <w:szCs w:val="28"/>
          <w:lang w:val="uk-UA"/>
        </w:rPr>
        <w:t xml:space="preserve">. У 2012 році обсяг капітальних інвестицій залучених підприємствами та організаціями району складає 49,7 млн.грн. </w:t>
      </w:r>
    </w:p>
    <w:p w:rsidR="00DA5F3A" w:rsidRDefault="00DA5F3A" w:rsidP="00DA5F3A">
      <w:pPr>
        <w:pStyle w:val="a7"/>
        <w:spacing w:line="276" w:lineRule="auto"/>
        <w:ind w:firstLine="851"/>
        <w:jc w:val="both"/>
        <w:rPr>
          <w:rFonts w:ascii="Times New Roman" w:hAnsi="Times New Roman" w:cs="Times New Roman"/>
          <w:sz w:val="28"/>
          <w:szCs w:val="28"/>
          <w:lang w:val="uk-UA"/>
        </w:rPr>
      </w:pPr>
      <w:r w:rsidRPr="00A80C9D">
        <w:rPr>
          <w:rFonts w:ascii="Times New Roman" w:hAnsi="Times New Roman" w:cs="Times New Roman"/>
          <w:sz w:val="28"/>
          <w:szCs w:val="28"/>
          <w:lang w:val="uk-UA"/>
        </w:rPr>
        <w:t xml:space="preserve">Значні капіталовкладення проводяться </w:t>
      </w:r>
      <w:r w:rsidRPr="00A80C9D">
        <w:rPr>
          <w:rFonts w:ascii="Times New Roman" w:eastAsia="Calibri" w:hAnsi="Times New Roman" w:cs="Times New Roman"/>
          <w:bCs/>
          <w:sz w:val="28"/>
          <w:szCs w:val="28"/>
          <w:lang w:val="uk-UA"/>
        </w:rPr>
        <w:t xml:space="preserve">в галузі сільського господарства. Зокрема по ТОВ «Агробізнес-ТСК» в 2012 році проінвестовано </w:t>
      </w:r>
      <w:r w:rsidRPr="00A80C9D">
        <w:rPr>
          <w:rFonts w:ascii="Times New Roman" w:eastAsia="Calibri" w:hAnsi="Times New Roman" w:cs="Times New Roman"/>
          <w:bCs/>
          <w:sz w:val="28"/>
          <w:szCs w:val="28"/>
          <w:lang w:val="uk-UA"/>
        </w:rPr>
        <w:lastRenderedPageBreak/>
        <w:t>будівництво овочесховищ на загальну суму 34 млн. грн., в 2013 році інвестиційні в</w:t>
      </w:r>
      <w:r w:rsidR="00E2357A">
        <w:rPr>
          <w:rFonts w:ascii="Times New Roman" w:eastAsia="Calibri" w:hAnsi="Times New Roman" w:cs="Times New Roman"/>
          <w:bCs/>
          <w:sz w:val="28"/>
          <w:szCs w:val="28"/>
          <w:lang w:val="uk-UA"/>
        </w:rPr>
        <w:t xml:space="preserve">кладення даного підприємства </w:t>
      </w:r>
      <w:r w:rsidRPr="00A80C9D">
        <w:rPr>
          <w:rFonts w:ascii="Times New Roman" w:eastAsia="Calibri" w:hAnsi="Times New Roman" w:cs="Times New Roman"/>
          <w:bCs/>
          <w:sz w:val="28"/>
          <w:szCs w:val="28"/>
          <w:lang w:val="uk-UA"/>
        </w:rPr>
        <w:t xml:space="preserve"> сягают</w:t>
      </w:r>
      <w:r w:rsidR="00E2357A">
        <w:rPr>
          <w:rFonts w:ascii="Times New Roman" w:eastAsia="Calibri" w:hAnsi="Times New Roman" w:cs="Times New Roman"/>
          <w:bCs/>
          <w:sz w:val="28"/>
          <w:szCs w:val="28"/>
          <w:lang w:val="uk-UA"/>
        </w:rPr>
        <w:t xml:space="preserve">ь більше 21 млн. грн. Зокрема, </w:t>
      </w:r>
      <w:r w:rsidRPr="00A80C9D">
        <w:rPr>
          <w:rFonts w:ascii="Times New Roman" w:hAnsi="Times New Roman" w:cs="Times New Roman"/>
          <w:sz w:val="28"/>
          <w:szCs w:val="28"/>
          <w:lang w:val="uk-UA"/>
        </w:rPr>
        <w:t xml:space="preserve"> придбано 2 дощувальні машини та будується 5 картоплесховищ для напільного зберігання картоплі. Загалом в сільське господарство протягом 9 місяців 2013 року інвестовано 21,9 млн. грн.</w:t>
      </w:r>
    </w:p>
    <w:p w:rsidR="00DA5F3A" w:rsidRPr="00A80C9D" w:rsidRDefault="00DA5F3A" w:rsidP="00DA5F3A">
      <w:pPr>
        <w:pStyle w:val="a7"/>
        <w:spacing w:line="276"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Значних інвестицій вкладено у будівництво водогонів по Недригайлівському району, що дало змогу покращити якість життя населення.</w:t>
      </w:r>
    </w:p>
    <w:p w:rsidR="00DA5F3A" w:rsidRPr="00DD4397" w:rsidRDefault="00885519" w:rsidP="00DA5F3A">
      <w:pPr>
        <w:spacing w:after="0"/>
        <w:ind w:firstLine="851"/>
        <w:jc w:val="both"/>
        <w:rPr>
          <w:rFonts w:ascii="Times New Roman" w:hAnsi="Times New Roman" w:cs="Times New Roman"/>
          <w:sz w:val="28"/>
          <w:szCs w:val="28"/>
        </w:rPr>
      </w:pPr>
      <w:r>
        <w:rPr>
          <w:rFonts w:ascii="Times New Roman" w:hAnsi="Times New Roman" w:cs="Times New Roman"/>
          <w:sz w:val="28"/>
          <w:szCs w:val="28"/>
        </w:rPr>
        <w:t>Яскравим прикладом</w:t>
      </w:r>
      <w:r w:rsidR="00DA5F3A" w:rsidRPr="00DD4397">
        <w:rPr>
          <w:rFonts w:ascii="Times New Roman" w:hAnsi="Times New Roman" w:cs="Times New Roman"/>
          <w:sz w:val="28"/>
          <w:szCs w:val="28"/>
        </w:rPr>
        <w:t xml:space="preserve"> є успішна реалізація на території району, завдяки зусиллям влади, спільного Проекту ЄС/ПРООН «Місцевий розвиток, орієнтований на громад</w:t>
      </w:r>
      <w:proofErr w:type="gramStart"/>
      <w:r w:rsidR="00DA5F3A" w:rsidRPr="00DD4397">
        <w:rPr>
          <w:rFonts w:ascii="Times New Roman" w:hAnsi="Times New Roman" w:cs="Times New Roman"/>
          <w:sz w:val="28"/>
          <w:szCs w:val="28"/>
        </w:rPr>
        <w:t>у-</w:t>
      </w:r>
      <w:proofErr w:type="gramEnd"/>
      <w:r w:rsidR="00DA5F3A" w:rsidRPr="00DD4397">
        <w:rPr>
          <w:rFonts w:ascii="Times New Roman" w:hAnsi="Times New Roman" w:cs="Times New Roman"/>
          <w:sz w:val="28"/>
          <w:szCs w:val="28"/>
        </w:rPr>
        <w:t xml:space="preserve">ІІ». В рамках даного проекту вдалося  виконати плани щодо покращення якості води та взагалі системи водопостачання по Недригайлівській, Тернівській селищних та Засульській і Маршалівській сільських радах району. </w:t>
      </w:r>
    </w:p>
    <w:p w:rsidR="00DA5F3A" w:rsidRDefault="00DA5F3A" w:rsidP="00DA5F3A">
      <w:pPr>
        <w:spacing w:after="0"/>
        <w:ind w:firstLine="708"/>
        <w:jc w:val="both"/>
        <w:rPr>
          <w:rFonts w:ascii="Times New Roman" w:hAnsi="Times New Roman" w:cs="Times New Roman"/>
          <w:sz w:val="28"/>
          <w:szCs w:val="28"/>
          <w:lang w:val="uk-UA"/>
        </w:rPr>
      </w:pPr>
      <w:r w:rsidRPr="00DD4397">
        <w:rPr>
          <w:rFonts w:ascii="Times New Roman" w:eastAsia="Calibri" w:hAnsi="Times New Roman" w:cs="Times New Roman"/>
          <w:bCs/>
          <w:sz w:val="28"/>
          <w:szCs w:val="28"/>
        </w:rPr>
        <w:t>Загальна сума коштів  інвестована у будівництво водогонів по району складає</w:t>
      </w:r>
      <w:r w:rsidRPr="00DD4397">
        <w:rPr>
          <w:rFonts w:ascii="Times New Roman" w:hAnsi="Times New Roman" w:cs="Times New Roman"/>
          <w:sz w:val="28"/>
          <w:szCs w:val="28"/>
        </w:rPr>
        <w:t xml:space="preserve"> 1 129 304 грн., в тому числі залучено коштів міжнародних організацій в сумі-304 850 грн., кошти члені</w:t>
      </w:r>
      <w:proofErr w:type="gramStart"/>
      <w:r w:rsidRPr="00DD4397">
        <w:rPr>
          <w:rFonts w:ascii="Times New Roman" w:hAnsi="Times New Roman" w:cs="Times New Roman"/>
          <w:sz w:val="28"/>
          <w:szCs w:val="28"/>
        </w:rPr>
        <w:t>в</w:t>
      </w:r>
      <w:proofErr w:type="gramEnd"/>
      <w:r w:rsidRPr="00DD4397">
        <w:rPr>
          <w:rFonts w:ascii="Times New Roman" w:hAnsi="Times New Roman" w:cs="Times New Roman"/>
          <w:sz w:val="28"/>
          <w:szCs w:val="28"/>
        </w:rPr>
        <w:t xml:space="preserve"> громад -566 345 грн. Завдяки проведеній роботі водопровідна мережа району збільшилась на 8,67 км, забезпечення доброякісною водою отримали понад 120 осель.</w:t>
      </w:r>
    </w:p>
    <w:p w:rsidR="00DA5F3A" w:rsidRPr="002975F1" w:rsidRDefault="00DA5F3A" w:rsidP="00DA5F3A">
      <w:pPr>
        <w:spacing w:after="0"/>
        <w:ind w:firstLine="708"/>
        <w:jc w:val="both"/>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extent cx="5257800" cy="3086100"/>
            <wp:effectExtent l="19050" t="0" r="1905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A5F3A" w:rsidRPr="00DA5F3A" w:rsidRDefault="00DA5F3A" w:rsidP="00DA5F3A">
      <w:pPr>
        <w:spacing w:after="0"/>
        <w:ind w:left="851"/>
        <w:jc w:val="center"/>
        <w:rPr>
          <w:rFonts w:ascii="Times New Roman" w:hAnsi="Times New Roman" w:cs="Times New Roman"/>
          <w:b/>
          <w:sz w:val="28"/>
          <w:szCs w:val="28"/>
          <w:lang w:val="uk-UA"/>
        </w:rPr>
      </w:pPr>
      <w:r w:rsidRPr="00DA5F3A">
        <w:rPr>
          <w:rFonts w:ascii="Times New Roman" w:hAnsi="Times New Roman" w:cs="Times New Roman"/>
          <w:b/>
          <w:sz w:val="28"/>
          <w:szCs w:val="28"/>
          <w:lang w:val="uk-UA"/>
        </w:rPr>
        <w:t>5. Будівництво</w:t>
      </w:r>
    </w:p>
    <w:p w:rsidR="00DA5F3A" w:rsidRDefault="00DA5F3A" w:rsidP="00DA5F3A">
      <w:pPr>
        <w:spacing w:after="0"/>
        <w:ind w:firstLine="851"/>
        <w:jc w:val="both"/>
        <w:rPr>
          <w:rFonts w:ascii="Times New Roman" w:hAnsi="Times New Roman" w:cs="Times New Roman"/>
          <w:sz w:val="28"/>
          <w:szCs w:val="28"/>
          <w:lang w:val="uk-UA"/>
        </w:rPr>
      </w:pPr>
      <w:r w:rsidRPr="00DA5F3A">
        <w:rPr>
          <w:rFonts w:ascii="Times New Roman" w:hAnsi="Times New Roman" w:cs="Times New Roman"/>
          <w:sz w:val="28"/>
          <w:szCs w:val="28"/>
        </w:rPr>
        <w:t>У 2013 році введено в експлуатацію 1494 кв. метрів загальної площі житла при плані 2500 кв. метрів</w:t>
      </w:r>
      <w:proofErr w:type="gramStart"/>
      <w:r w:rsidRPr="00DA5F3A">
        <w:rPr>
          <w:rFonts w:ascii="Times New Roman" w:hAnsi="Times New Roman" w:cs="Times New Roman"/>
          <w:sz w:val="28"/>
          <w:szCs w:val="28"/>
        </w:rPr>
        <w:t>,щ</w:t>
      </w:r>
      <w:proofErr w:type="gramEnd"/>
      <w:r w:rsidRPr="00DA5F3A">
        <w:rPr>
          <w:rFonts w:ascii="Times New Roman" w:hAnsi="Times New Roman" w:cs="Times New Roman"/>
          <w:sz w:val="28"/>
          <w:szCs w:val="28"/>
        </w:rPr>
        <w:t>о становить 60%, за 2012 рік введено в експлуатацію  2003 кв. метрів загальної площі житла при плані 2500 кв. метрів,</w:t>
      </w:r>
      <w:r w:rsidR="00885519">
        <w:rPr>
          <w:rFonts w:ascii="Times New Roman" w:hAnsi="Times New Roman" w:cs="Times New Roman"/>
          <w:sz w:val="28"/>
          <w:szCs w:val="28"/>
          <w:lang w:val="uk-UA"/>
        </w:rPr>
        <w:t xml:space="preserve"> </w:t>
      </w:r>
      <w:r w:rsidRPr="00DA5F3A">
        <w:rPr>
          <w:rFonts w:ascii="Times New Roman" w:hAnsi="Times New Roman" w:cs="Times New Roman"/>
          <w:sz w:val="28"/>
          <w:szCs w:val="28"/>
        </w:rPr>
        <w:t xml:space="preserve">що становить 80%. Зменшення кількості загальної площі житла відбулося у зв’язку із зменшенням кількості індивідуальних забудовників, так як будівництво житла на території району здійснюється лише за рахунок </w:t>
      </w:r>
      <w:r w:rsidRPr="00DA5F3A">
        <w:rPr>
          <w:rFonts w:ascii="Times New Roman" w:hAnsi="Times New Roman" w:cs="Times New Roman"/>
          <w:sz w:val="28"/>
          <w:szCs w:val="28"/>
        </w:rPr>
        <w:lastRenderedPageBreak/>
        <w:t xml:space="preserve">індивідуальних забудовників. На 2014 </w:t>
      </w:r>
      <w:proofErr w:type="gramStart"/>
      <w:r w:rsidRPr="00DA5F3A">
        <w:rPr>
          <w:rFonts w:ascii="Times New Roman" w:hAnsi="Times New Roman" w:cs="Times New Roman"/>
          <w:sz w:val="28"/>
          <w:szCs w:val="28"/>
        </w:rPr>
        <w:t>р</w:t>
      </w:r>
      <w:proofErr w:type="gramEnd"/>
      <w:r w:rsidRPr="00DA5F3A">
        <w:rPr>
          <w:rFonts w:ascii="Times New Roman" w:hAnsi="Times New Roman" w:cs="Times New Roman"/>
          <w:sz w:val="28"/>
          <w:szCs w:val="28"/>
        </w:rPr>
        <w:t>ік заплановано ввести 2500 кв. метрів загальної площі житла</w:t>
      </w:r>
      <w:r>
        <w:rPr>
          <w:rFonts w:ascii="Times New Roman" w:hAnsi="Times New Roman" w:cs="Times New Roman"/>
          <w:sz w:val="28"/>
          <w:szCs w:val="28"/>
          <w:lang w:val="uk-UA"/>
        </w:rPr>
        <w:t>.</w:t>
      </w:r>
    </w:p>
    <w:p w:rsidR="00DA5F3A" w:rsidRDefault="00DA5F3A" w:rsidP="00DA5F3A">
      <w:pPr>
        <w:spacing w:after="0"/>
        <w:ind w:firstLine="851"/>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6. </w:t>
      </w:r>
      <w:r w:rsidRPr="00C87E83">
        <w:rPr>
          <w:rFonts w:ascii="Times New Roman" w:hAnsi="Times New Roman" w:cs="Times New Roman"/>
          <w:b/>
          <w:sz w:val="28"/>
          <w:szCs w:val="28"/>
          <w:lang w:val="uk-UA"/>
        </w:rPr>
        <w:t>Споживчий ринок</w:t>
      </w:r>
    </w:p>
    <w:p w:rsidR="00DA5F3A" w:rsidRDefault="00DA5F3A" w:rsidP="00BD74AC">
      <w:pPr>
        <w:spacing w:after="0" w:line="240" w:lineRule="auto"/>
        <w:ind w:firstLine="851"/>
        <w:jc w:val="both"/>
        <w:rPr>
          <w:rFonts w:ascii="Times New Roman" w:hAnsi="Times New Roman" w:cs="Times New Roman"/>
          <w:sz w:val="28"/>
          <w:szCs w:val="28"/>
          <w:lang w:val="uk-UA"/>
        </w:rPr>
      </w:pPr>
      <w:r w:rsidRPr="005272C6">
        <w:rPr>
          <w:rFonts w:ascii="Times New Roman" w:hAnsi="Times New Roman" w:cs="Times New Roman"/>
          <w:sz w:val="28"/>
          <w:szCs w:val="28"/>
          <w:lang w:val="uk-UA"/>
        </w:rPr>
        <w:t>На сьогодні в районі працює</w:t>
      </w:r>
      <w:r>
        <w:rPr>
          <w:rFonts w:ascii="Times New Roman" w:hAnsi="Times New Roman" w:cs="Times New Roman"/>
          <w:sz w:val="28"/>
          <w:szCs w:val="28"/>
          <w:lang w:val="uk-UA"/>
        </w:rPr>
        <w:t>:</w:t>
      </w:r>
    </w:p>
    <w:p w:rsidR="00DA5F3A" w:rsidRDefault="00DA5F3A" w:rsidP="00BD74AC">
      <w:pPr>
        <w:spacing w:after="0" w:line="240" w:lineRule="auto"/>
        <w:ind w:firstLine="851"/>
        <w:jc w:val="both"/>
        <w:rPr>
          <w:rFonts w:ascii="Times New Roman" w:hAnsi="Times New Roman" w:cs="Times New Roman"/>
          <w:sz w:val="28"/>
          <w:szCs w:val="28"/>
          <w:lang w:val="uk-UA"/>
        </w:rPr>
      </w:pPr>
      <w:r w:rsidRPr="005272C6">
        <w:rPr>
          <w:rFonts w:ascii="Times New Roman" w:hAnsi="Times New Roman" w:cs="Times New Roman"/>
          <w:sz w:val="28"/>
          <w:szCs w:val="28"/>
          <w:lang w:val="uk-UA"/>
        </w:rPr>
        <w:t xml:space="preserve"> 18</w:t>
      </w:r>
      <w:r>
        <w:rPr>
          <w:rFonts w:ascii="Times New Roman" w:hAnsi="Times New Roman" w:cs="Times New Roman"/>
          <w:sz w:val="28"/>
          <w:szCs w:val="28"/>
          <w:lang w:val="uk-UA"/>
        </w:rPr>
        <w:t>2</w:t>
      </w:r>
      <w:r w:rsidRPr="005272C6">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и</w:t>
      </w:r>
      <w:r w:rsidRPr="005272C6">
        <w:rPr>
          <w:rFonts w:ascii="Times New Roman" w:hAnsi="Times New Roman" w:cs="Times New Roman"/>
          <w:sz w:val="28"/>
          <w:szCs w:val="28"/>
          <w:lang w:val="uk-UA"/>
        </w:rPr>
        <w:t xml:space="preserve"> торгівлі,</w:t>
      </w:r>
      <w:r>
        <w:rPr>
          <w:rFonts w:ascii="Times New Roman" w:hAnsi="Times New Roman" w:cs="Times New Roman"/>
          <w:sz w:val="28"/>
          <w:szCs w:val="28"/>
          <w:lang w:val="uk-UA"/>
        </w:rPr>
        <w:t xml:space="preserve"> в тому числі 176 – магазини, з них в сільській місцевості – 98 закладів, </w:t>
      </w:r>
    </w:p>
    <w:p w:rsidR="00DA5F3A" w:rsidRDefault="00DA5F3A" w:rsidP="00BD74AC">
      <w:pPr>
        <w:spacing w:after="0" w:line="240" w:lineRule="auto"/>
        <w:ind w:firstLine="851"/>
        <w:jc w:val="both"/>
        <w:rPr>
          <w:rFonts w:ascii="Times New Roman" w:hAnsi="Times New Roman" w:cs="Times New Roman"/>
          <w:sz w:val="28"/>
          <w:szCs w:val="28"/>
          <w:lang w:val="uk-UA"/>
        </w:rPr>
      </w:pPr>
      <w:r w:rsidRPr="005272C6">
        <w:rPr>
          <w:rFonts w:ascii="Times New Roman" w:hAnsi="Times New Roman" w:cs="Times New Roman"/>
          <w:sz w:val="28"/>
          <w:szCs w:val="28"/>
          <w:lang w:val="uk-UA"/>
        </w:rPr>
        <w:t xml:space="preserve"> 5</w:t>
      </w:r>
      <w:r>
        <w:rPr>
          <w:rFonts w:ascii="Times New Roman" w:hAnsi="Times New Roman" w:cs="Times New Roman"/>
          <w:sz w:val="28"/>
          <w:szCs w:val="28"/>
          <w:lang w:val="uk-UA"/>
        </w:rPr>
        <w:t>0</w:t>
      </w:r>
      <w:r w:rsidRPr="005272C6">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ів</w:t>
      </w:r>
      <w:r w:rsidRPr="005272C6">
        <w:rPr>
          <w:rFonts w:ascii="Times New Roman" w:hAnsi="Times New Roman" w:cs="Times New Roman"/>
          <w:sz w:val="28"/>
          <w:szCs w:val="28"/>
          <w:lang w:val="uk-UA"/>
        </w:rPr>
        <w:t xml:space="preserve"> побутового обслуговування</w:t>
      </w:r>
      <w:r>
        <w:rPr>
          <w:rFonts w:ascii="Times New Roman" w:hAnsi="Times New Roman" w:cs="Times New Roman"/>
          <w:sz w:val="28"/>
          <w:szCs w:val="28"/>
          <w:lang w:val="uk-UA"/>
        </w:rPr>
        <w:t xml:space="preserve"> населення</w:t>
      </w:r>
      <w:r w:rsidRPr="005272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з яких працює в селах району, </w:t>
      </w:r>
    </w:p>
    <w:p w:rsidR="00DA5F3A" w:rsidRDefault="00DA5F3A" w:rsidP="00BD74AC">
      <w:pPr>
        <w:spacing w:after="0" w:line="240" w:lineRule="auto"/>
        <w:ind w:firstLine="851"/>
        <w:jc w:val="both"/>
        <w:rPr>
          <w:rFonts w:ascii="Times New Roman" w:hAnsi="Times New Roman" w:cs="Times New Roman"/>
          <w:sz w:val="28"/>
          <w:szCs w:val="28"/>
          <w:lang w:val="uk-UA"/>
        </w:rPr>
      </w:pPr>
      <w:r w:rsidRPr="005272C6">
        <w:rPr>
          <w:rFonts w:ascii="Times New Roman" w:hAnsi="Times New Roman" w:cs="Times New Roman"/>
          <w:sz w:val="28"/>
          <w:szCs w:val="28"/>
          <w:lang w:val="uk-UA"/>
        </w:rPr>
        <w:t>15 зак</w:t>
      </w:r>
      <w:r>
        <w:rPr>
          <w:rFonts w:ascii="Times New Roman" w:hAnsi="Times New Roman" w:cs="Times New Roman"/>
          <w:sz w:val="28"/>
          <w:szCs w:val="28"/>
          <w:lang w:val="uk-UA"/>
        </w:rPr>
        <w:t>ладів ресторанного господарства, в тому числі в  сільській місцевості – 6 закладів</w:t>
      </w:r>
    </w:p>
    <w:p w:rsidR="00DA5F3A" w:rsidRPr="005272C6" w:rsidRDefault="00DA5F3A" w:rsidP="00BD74AC">
      <w:pPr>
        <w:spacing w:after="0" w:line="240" w:lineRule="auto"/>
        <w:ind w:firstLine="851"/>
        <w:jc w:val="both"/>
        <w:rPr>
          <w:rFonts w:ascii="Times New Roman" w:hAnsi="Times New Roman" w:cs="Times New Roman"/>
          <w:sz w:val="28"/>
          <w:szCs w:val="28"/>
          <w:lang w:val="uk-UA"/>
        </w:rPr>
      </w:pPr>
      <w:r w:rsidRPr="005272C6">
        <w:rPr>
          <w:rFonts w:ascii="Times New Roman" w:hAnsi="Times New Roman" w:cs="Times New Roman"/>
          <w:sz w:val="28"/>
          <w:szCs w:val="28"/>
          <w:lang w:val="uk-UA"/>
        </w:rPr>
        <w:t xml:space="preserve"> </w:t>
      </w:r>
      <w:r w:rsidRPr="00C87E83">
        <w:rPr>
          <w:rFonts w:ascii="Times New Roman" w:hAnsi="Times New Roman" w:cs="Times New Roman"/>
          <w:bCs/>
          <w:sz w:val="28"/>
          <w:szCs w:val="28"/>
          <w:lang w:val="uk-UA"/>
        </w:rPr>
        <w:t>Загальна кількість працюючих в закладах торгівлі району складає 331 особа</w:t>
      </w:r>
      <w:r w:rsidRPr="005272C6">
        <w:rPr>
          <w:rFonts w:ascii="Times New Roman" w:hAnsi="Times New Roman" w:cs="Times New Roman"/>
          <w:bCs/>
          <w:sz w:val="28"/>
          <w:szCs w:val="28"/>
          <w:lang w:val="uk-UA"/>
        </w:rPr>
        <w:t xml:space="preserve"> </w:t>
      </w:r>
      <w:r w:rsidRPr="00C87E83">
        <w:rPr>
          <w:rFonts w:ascii="Times New Roman" w:hAnsi="Times New Roman" w:cs="Times New Roman"/>
          <w:bCs/>
          <w:sz w:val="28"/>
          <w:szCs w:val="28"/>
          <w:lang w:val="uk-UA"/>
        </w:rPr>
        <w:t xml:space="preserve">.  </w:t>
      </w:r>
      <w:r w:rsidRPr="00C87E83">
        <w:rPr>
          <w:rFonts w:ascii="Times New Roman" w:hAnsi="Times New Roman" w:cs="Times New Roman"/>
          <w:sz w:val="28"/>
          <w:szCs w:val="28"/>
          <w:lang w:val="uk-UA"/>
        </w:rPr>
        <w:t xml:space="preserve"> </w:t>
      </w:r>
    </w:p>
    <w:p w:rsidR="00DA5F3A" w:rsidRDefault="00DA5F3A" w:rsidP="00BD74AC">
      <w:pPr>
        <w:spacing w:after="0" w:line="240" w:lineRule="auto"/>
        <w:ind w:firstLine="851"/>
        <w:jc w:val="both"/>
        <w:rPr>
          <w:rFonts w:ascii="Times New Roman" w:hAnsi="Times New Roman" w:cs="Times New Roman"/>
          <w:sz w:val="28"/>
          <w:szCs w:val="28"/>
          <w:lang w:val="uk-UA"/>
        </w:rPr>
      </w:pPr>
      <w:r w:rsidRPr="003339B3">
        <w:rPr>
          <w:rFonts w:ascii="Times New Roman" w:hAnsi="Times New Roman" w:cs="Times New Roman"/>
          <w:sz w:val="28"/>
          <w:szCs w:val="28"/>
          <w:lang w:val="uk-UA"/>
        </w:rPr>
        <w:t>Протягом 2013 року в районі відкрилося 1</w:t>
      </w:r>
      <w:r>
        <w:rPr>
          <w:rFonts w:ascii="Times New Roman" w:hAnsi="Times New Roman" w:cs="Times New Roman"/>
          <w:sz w:val="28"/>
          <w:szCs w:val="28"/>
          <w:lang w:val="uk-UA"/>
        </w:rPr>
        <w:t>3</w:t>
      </w:r>
      <w:r w:rsidRPr="003339B3">
        <w:rPr>
          <w:rFonts w:ascii="Times New Roman" w:hAnsi="Times New Roman" w:cs="Times New Roman"/>
          <w:sz w:val="28"/>
          <w:szCs w:val="28"/>
        </w:rPr>
        <w:t> </w:t>
      </w:r>
      <w:r w:rsidRPr="003339B3">
        <w:rPr>
          <w:rFonts w:ascii="Times New Roman" w:hAnsi="Times New Roman" w:cs="Times New Roman"/>
          <w:sz w:val="28"/>
          <w:szCs w:val="28"/>
          <w:lang w:val="uk-UA"/>
        </w:rPr>
        <w:t xml:space="preserve">підприємств роздрібної торгівлі та </w:t>
      </w:r>
      <w:r>
        <w:rPr>
          <w:rFonts w:ascii="Times New Roman" w:hAnsi="Times New Roman" w:cs="Times New Roman"/>
          <w:sz w:val="28"/>
          <w:szCs w:val="28"/>
          <w:lang w:val="uk-UA"/>
        </w:rPr>
        <w:t>4 підприємства</w:t>
      </w:r>
      <w:r w:rsidRPr="003339B3">
        <w:rPr>
          <w:rFonts w:ascii="Times New Roman" w:hAnsi="Times New Roman" w:cs="Times New Roman"/>
          <w:sz w:val="28"/>
          <w:szCs w:val="28"/>
          <w:lang w:val="uk-UA"/>
        </w:rPr>
        <w:t xml:space="preserve"> побутового обслуговування.</w:t>
      </w:r>
      <w:r w:rsidRPr="00734C2F">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3339B3">
        <w:rPr>
          <w:rFonts w:ascii="Times New Roman" w:hAnsi="Times New Roman" w:cs="Times New Roman"/>
          <w:sz w:val="28"/>
          <w:szCs w:val="28"/>
          <w:lang w:val="uk-UA"/>
        </w:rPr>
        <w:t xml:space="preserve">абезпеченість торгівельною площею у магазинах на 1000 жителів складає: у міських поселеннях 692 кв.м, що становить 168,4% до нормативу по області; у сільській місцевості 279 кв.м., що становить 88,3% встановленого нормативу по області. Крім того, по району торгівельна площа для торгівлі товарами щоденного попиту у розрахунку на 1000 жителів складає 249 кв.м., при нормативі по області 124 кв.м., що становить 200,6% забезпеченості до нормативу. Для торгівлі непродовольчими товарами в розрахунку на 1000 жителів району торгівельна площа становить 172 кв.м., забезпеченість до нормативу встановленого по області складає 138,9%. Отже, діюча торгівельна мережа формує достатню сферу торгівлі району, яка на належному рівні забезпечує споживчі потреби населення. </w:t>
      </w:r>
    </w:p>
    <w:p w:rsidR="00DA5F3A" w:rsidRDefault="00DA5F3A" w:rsidP="00BD74A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Очікуваний о</w:t>
      </w:r>
      <w:r w:rsidRPr="00B96756">
        <w:rPr>
          <w:rFonts w:ascii="Times New Roman" w:hAnsi="Times New Roman" w:cs="Times New Roman"/>
          <w:sz w:val="28"/>
          <w:szCs w:val="28"/>
          <w:lang w:val="uk-UA"/>
        </w:rPr>
        <w:t xml:space="preserve">бсяг роздрібного товарообороту підприємств-юридичних осіб </w:t>
      </w:r>
      <w:r>
        <w:rPr>
          <w:rFonts w:ascii="Times New Roman" w:hAnsi="Times New Roman" w:cs="Times New Roman"/>
          <w:sz w:val="28"/>
          <w:szCs w:val="28"/>
          <w:lang w:val="uk-UA"/>
        </w:rPr>
        <w:t xml:space="preserve">за </w:t>
      </w:r>
      <w:r w:rsidRPr="00B96756">
        <w:rPr>
          <w:rFonts w:ascii="Times New Roman" w:hAnsi="Times New Roman" w:cs="Times New Roman"/>
          <w:sz w:val="28"/>
          <w:szCs w:val="28"/>
          <w:lang w:val="uk-UA"/>
        </w:rPr>
        <w:t>2013 р</w:t>
      </w:r>
      <w:r>
        <w:rPr>
          <w:rFonts w:ascii="Times New Roman" w:hAnsi="Times New Roman" w:cs="Times New Roman"/>
          <w:sz w:val="28"/>
          <w:szCs w:val="28"/>
          <w:lang w:val="uk-UA"/>
        </w:rPr>
        <w:t>ік</w:t>
      </w:r>
      <w:r w:rsidRPr="00B96756">
        <w:rPr>
          <w:rFonts w:ascii="Times New Roman" w:hAnsi="Times New Roman" w:cs="Times New Roman"/>
          <w:sz w:val="28"/>
          <w:szCs w:val="28"/>
          <w:lang w:val="uk-UA"/>
        </w:rPr>
        <w:t xml:space="preserve"> збільшився на 1</w:t>
      </w:r>
      <w:r>
        <w:rPr>
          <w:rFonts w:ascii="Times New Roman" w:hAnsi="Times New Roman" w:cs="Times New Roman"/>
          <w:sz w:val="28"/>
          <w:szCs w:val="28"/>
          <w:lang w:val="uk-UA"/>
        </w:rPr>
        <w:t>4</w:t>
      </w:r>
      <w:r w:rsidRPr="00B96756">
        <w:rPr>
          <w:rFonts w:ascii="Times New Roman" w:hAnsi="Times New Roman" w:cs="Times New Roman"/>
          <w:sz w:val="28"/>
          <w:szCs w:val="28"/>
          <w:lang w:val="uk-UA"/>
        </w:rPr>
        <w:t>% порівняно з  2012 рок</w:t>
      </w:r>
      <w:r>
        <w:rPr>
          <w:rFonts w:ascii="Times New Roman" w:hAnsi="Times New Roman" w:cs="Times New Roman"/>
          <w:sz w:val="28"/>
          <w:szCs w:val="28"/>
          <w:lang w:val="uk-UA"/>
        </w:rPr>
        <w:t>ом</w:t>
      </w:r>
      <w:r w:rsidRPr="00B96756">
        <w:rPr>
          <w:rFonts w:ascii="Times New Roman" w:hAnsi="Times New Roman" w:cs="Times New Roman"/>
          <w:sz w:val="28"/>
          <w:szCs w:val="28"/>
          <w:lang w:val="uk-UA"/>
        </w:rPr>
        <w:t xml:space="preserve"> і становить 3</w:t>
      </w:r>
      <w:r>
        <w:rPr>
          <w:rFonts w:ascii="Times New Roman" w:hAnsi="Times New Roman" w:cs="Times New Roman"/>
          <w:sz w:val="28"/>
          <w:szCs w:val="28"/>
          <w:lang w:val="uk-UA"/>
        </w:rPr>
        <w:t>7.4</w:t>
      </w:r>
      <w:r w:rsidRPr="00B96756">
        <w:rPr>
          <w:rFonts w:ascii="Times New Roman" w:hAnsi="Times New Roman" w:cs="Times New Roman"/>
          <w:sz w:val="28"/>
          <w:szCs w:val="28"/>
          <w:lang w:val="uk-UA"/>
        </w:rPr>
        <w:t xml:space="preserve"> млн.</w:t>
      </w:r>
      <w:r w:rsidRPr="00B96756">
        <w:rPr>
          <w:rFonts w:ascii="Times New Roman" w:hAnsi="Times New Roman" w:cs="Times New Roman"/>
          <w:sz w:val="28"/>
          <w:szCs w:val="28"/>
        </w:rPr>
        <w:t> </w:t>
      </w:r>
      <w:r w:rsidRPr="00B96756">
        <w:rPr>
          <w:rFonts w:ascii="Times New Roman" w:hAnsi="Times New Roman" w:cs="Times New Roman"/>
          <w:sz w:val="28"/>
          <w:szCs w:val="28"/>
          <w:lang w:val="uk-UA"/>
        </w:rPr>
        <w:t xml:space="preserve">гривень. </w:t>
      </w:r>
      <w:r>
        <w:rPr>
          <w:rFonts w:ascii="Times New Roman" w:hAnsi="Times New Roman" w:cs="Times New Roman"/>
          <w:sz w:val="28"/>
          <w:szCs w:val="28"/>
          <w:lang w:val="uk-UA"/>
        </w:rPr>
        <w:t xml:space="preserve">Даний показник складає близько 1% до загальнообласного обсягу роздрібного товарообороту підприємств. </w:t>
      </w:r>
      <w:r w:rsidRPr="00B96756">
        <w:rPr>
          <w:rFonts w:ascii="Times New Roman" w:hAnsi="Times New Roman" w:cs="Times New Roman"/>
          <w:sz w:val="28"/>
          <w:szCs w:val="28"/>
        </w:rPr>
        <w:t>У розрахунку на 1 особу обсяг</w:t>
      </w:r>
      <w:r w:rsidRPr="00B96756">
        <w:rPr>
          <w:rFonts w:ascii="Times New Roman" w:hAnsi="Times New Roman" w:cs="Times New Roman"/>
          <w:color w:val="FF0000"/>
          <w:sz w:val="28"/>
          <w:szCs w:val="28"/>
        </w:rPr>
        <w:t xml:space="preserve"> </w:t>
      </w:r>
      <w:r w:rsidRPr="00B96756">
        <w:rPr>
          <w:rFonts w:ascii="Times New Roman" w:hAnsi="Times New Roman" w:cs="Times New Roman"/>
          <w:sz w:val="28"/>
          <w:szCs w:val="28"/>
        </w:rPr>
        <w:t xml:space="preserve">роздрібного товарообороту </w:t>
      </w:r>
      <w:r>
        <w:rPr>
          <w:rFonts w:ascii="Times New Roman" w:hAnsi="Times New Roman" w:cs="Times New Roman"/>
          <w:sz w:val="28"/>
          <w:szCs w:val="28"/>
          <w:lang w:val="uk-UA"/>
        </w:rPr>
        <w:t xml:space="preserve">в районі </w:t>
      </w:r>
      <w:r w:rsidRPr="00B96756">
        <w:rPr>
          <w:rFonts w:ascii="Times New Roman" w:hAnsi="Times New Roman" w:cs="Times New Roman"/>
          <w:sz w:val="28"/>
          <w:szCs w:val="28"/>
        </w:rPr>
        <w:t>склав 1</w:t>
      </w:r>
      <w:r>
        <w:rPr>
          <w:rFonts w:ascii="Times New Roman" w:hAnsi="Times New Roman" w:cs="Times New Roman"/>
          <w:sz w:val="28"/>
          <w:szCs w:val="28"/>
          <w:lang w:val="uk-UA"/>
        </w:rPr>
        <w:t>484</w:t>
      </w:r>
      <w:r w:rsidRPr="00B96756">
        <w:rPr>
          <w:rFonts w:ascii="Times New Roman" w:hAnsi="Times New Roman" w:cs="Times New Roman"/>
          <w:sz w:val="28"/>
          <w:szCs w:val="28"/>
        </w:rPr>
        <w:t>.2 грн., що на 1</w:t>
      </w:r>
      <w:r>
        <w:rPr>
          <w:rFonts w:ascii="Times New Roman" w:hAnsi="Times New Roman" w:cs="Times New Roman"/>
          <w:sz w:val="28"/>
          <w:szCs w:val="28"/>
          <w:lang w:val="uk-UA"/>
        </w:rPr>
        <w:t>5</w:t>
      </w:r>
      <w:r w:rsidRPr="00B96756">
        <w:rPr>
          <w:rFonts w:ascii="Times New Roman" w:hAnsi="Times New Roman" w:cs="Times New Roman"/>
          <w:sz w:val="28"/>
          <w:szCs w:val="28"/>
        </w:rPr>
        <w:t xml:space="preserve">% більше </w:t>
      </w:r>
      <w:proofErr w:type="gramStart"/>
      <w:r w:rsidRPr="00B96756">
        <w:rPr>
          <w:rFonts w:ascii="Times New Roman" w:hAnsi="Times New Roman" w:cs="Times New Roman"/>
          <w:sz w:val="28"/>
          <w:szCs w:val="28"/>
        </w:rPr>
        <w:t>р</w:t>
      </w:r>
      <w:proofErr w:type="gramEnd"/>
      <w:r w:rsidRPr="00B96756">
        <w:rPr>
          <w:rFonts w:ascii="Times New Roman" w:hAnsi="Times New Roman" w:cs="Times New Roman"/>
          <w:sz w:val="28"/>
          <w:szCs w:val="28"/>
        </w:rPr>
        <w:t>івня 2012 року</w:t>
      </w:r>
      <w:r>
        <w:rPr>
          <w:rFonts w:ascii="Times New Roman" w:hAnsi="Times New Roman" w:cs="Times New Roman"/>
          <w:sz w:val="28"/>
          <w:szCs w:val="28"/>
          <w:lang w:val="uk-UA"/>
        </w:rPr>
        <w:t>.</w:t>
      </w:r>
    </w:p>
    <w:p w:rsidR="00DA5F3A" w:rsidRDefault="00DA5F3A" w:rsidP="00BD74AC">
      <w:pPr>
        <w:spacing w:after="0" w:line="240" w:lineRule="auto"/>
        <w:ind w:firstLine="851"/>
        <w:jc w:val="center"/>
        <w:rPr>
          <w:rFonts w:ascii="Times New Roman" w:hAnsi="Times New Roman" w:cs="Times New Roman"/>
          <w:b/>
          <w:sz w:val="28"/>
          <w:szCs w:val="28"/>
          <w:lang w:val="uk-UA"/>
        </w:rPr>
      </w:pPr>
    </w:p>
    <w:tbl>
      <w:tblPr>
        <w:tblStyle w:val="a8"/>
        <w:tblW w:w="9781" w:type="dxa"/>
        <w:tblInd w:w="108" w:type="dxa"/>
        <w:tblLayout w:type="fixed"/>
        <w:tblLook w:val="04A0" w:firstRow="1" w:lastRow="0" w:firstColumn="1" w:lastColumn="0" w:noHBand="0" w:noVBand="1"/>
      </w:tblPr>
      <w:tblGrid>
        <w:gridCol w:w="2977"/>
        <w:gridCol w:w="1418"/>
        <w:gridCol w:w="1134"/>
        <w:gridCol w:w="1275"/>
        <w:gridCol w:w="851"/>
        <w:gridCol w:w="1276"/>
        <w:gridCol w:w="850"/>
      </w:tblGrid>
      <w:tr w:rsidR="00DA5F3A" w:rsidTr="00885519">
        <w:tc>
          <w:tcPr>
            <w:tcW w:w="2977" w:type="dxa"/>
          </w:tcPr>
          <w:p w:rsidR="00DA5F3A" w:rsidRPr="00885519" w:rsidRDefault="00DA5F3A" w:rsidP="00BD74AC">
            <w:pPr>
              <w:jc w:val="center"/>
              <w:rPr>
                <w:rFonts w:ascii="Times New Roman" w:hAnsi="Times New Roman" w:cs="Times New Roman"/>
                <w:b/>
                <w:sz w:val="24"/>
                <w:szCs w:val="24"/>
                <w:lang w:val="uk-UA"/>
              </w:rPr>
            </w:pPr>
            <w:r w:rsidRPr="00885519">
              <w:rPr>
                <w:rFonts w:ascii="Times New Roman" w:hAnsi="Times New Roman" w:cs="Times New Roman"/>
                <w:b/>
                <w:sz w:val="24"/>
                <w:szCs w:val="24"/>
                <w:lang w:val="uk-UA"/>
              </w:rPr>
              <w:t xml:space="preserve">Показник </w:t>
            </w:r>
          </w:p>
        </w:tc>
        <w:tc>
          <w:tcPr>
            <w:tcW w:w="1418" w:type="dxa"/>
          </w:tcPr>
          <w:p w:rsidR="00DA5F3A" w:rsidRPr="00885519" w:rsidRDefault="00DA5F3A" w:rsidP="00BD74AC">
            <w:pPr>
              <w:jc w:val="center"/>
              <w:rPr>
                <w:rFonts w:ascii="Times New Roman" w:hAnsi="Times New Roman" w:cs="Times New Roman"/>
                <w:b/>
                <w:sz w:val="24"/>
                <w:szCs w:val="24"/>
                <w:lang w:val="uk-UA"/>
              </w:rPr>
            </w:pPr>
            <w:r w:rsidRPr="00885519">
              <w:rPr>
                <w:rFonts w:ascii="Times New Roman" w:hAnsi="Times New Roman" w:cs="Times New Roman"/>
                <w:b/>
                <w:sz w:val="24"/>
                <w:szCs w:val="24"/>
                <w:lang w:val="uk-UA"/>
              </w:rPr>
              <w:t>Станом на 01.01.2012</w:t>
            </w:r>
          </w:p>
          <w:p w:rsidR="00DA5F3A" w:rsidRPr="00885519" w:rsidRDefault="00DA5F3A" w:rsidP="00BD74AC">
            <w:pPr>
              <w:jc w:val="center"/>
              <w:rPr>
                <w:rFonts w:ascii="Times New Roman" w:hAnsi="Times New Roman" w:cs="Times New Roman"/>
                <w:b/>
                <w:sz w:val="24"/>
                <w:szCs w:val="24"/>
                <w:lang w:val="uk-UA"/>
              </w:rPr>
            </w:pPr>
            <w:r w:rsidRPr="00885519">
              <w:rPr>
                <w:rFonts w:ascii="Times New Roman" w:hAnsi="Times New Roman" w:cs="Times New Roman"/>
                <w:b/>
                <w:sz w:val="24"/>
                <w:szCs w:val="24"/>
                <w:lang w:val="uk-UA"/>
              </w:rPr>
              <w:t xml:space="preserve">року </w:t>
            </w:r>
          </w:p>
        </w:tc>
        <w:tc>
          <w:tcPr>
            <w:tcW w:w="1134" w:type="dxa"/>
          </w:tcPr>
          <w:p w:rsidR="00915E96" w:rsidRPr="00885519" w:rsidRDefault="00DA5F3A" w:rsidP="00BD74AC">
            <w:pPr>
              <w:jc w:val="center"/>
              <w:rPr>
                <w:rFonts w:ascii="Times New Roman" w:hAnsi="Times New Roman" w:cs="Times New Roman"/>
                <w:b/>
                <w:sz w:val="24"/>
                <w:szCs w:val="24"/>
                <w:lang w:val="uk-UA"/>
              </w:rPr>
            </w:pPr>
            <w:r w:rsidRPr="00885519">
              <w:rPr>
                <w:rFonts w:ascii="Times New Roman" w:hAnsi="Times New Roman" w:cs="Times New Roman"/>
                <w:b/>
                <w:sz w:val="24"/>
                <w:szCs w:val="24"/>
                <w:lang w:val="uk-UA"/>
              </w:rPr>
              <w:t>План по відкрит</w:t>
            </w:r>
          </w:p>
          <w:p w:rsidR="00DA5F3A" w:rsidRPr="00885519" w:rsidRDefault="00DA5F3A" w:rsidP="00BD74AC">
            <w:pPr>
              <w:jc w:val="center"/>
              <w:rPr>
                <w:rFonts w:ascii="Times New Roman" w:hAnsi="Times New Roman" w:cs="Times New Roman"/>
                <w:b/>
                <w:sz w:val="24"/>
                <w:szCs w:val="24"/>
                <w:lang w:val="uk-UA"/>
              </w:rPr>
            </w:pPr>
            <w:r w:rsidRPr="00885519">
              <w:rPr>
                <w:rFonts w:ascii="Times New Roman" w:hAnsi="Times New Roman" w:cs="Times New Roman"/>
                <w:b/>
                <w:sz w:val="24"/>
                <w:szCs w:val="24"/>
                <w:lang w:val="uk-UA"/>
              </w:rPr>
              <w:t xml:space="preserve">тю </w:t>
            </w:r>
          </w:p>
        </w:tc>
        <w:tc>
          <w:tcPr>
            <w:tcW w:w="1275" w:type="dxa"/>
          </w:tcPr>
          <w:p w:rsidR="00DA5F3A" w:rsidRPr="00885519" w:rsidRDefault="00DA5F3A" w:rsidP="00BD74AC">
            <w:pPr>
              <w:jc w:val="center"/>
              <w:rPr>
                <w:rFonts w:ascii="Times New Roman" w:hAnsi="Times New Roman" w:cs="Times New Roman"/>
                <w:b/>
                <w:sz w:val="24"/>
                <w:szCs w:val="24"/>
                <w:lang w:val="uk-UA"/>
              </w:rPr>
            </w:pPr>
            <w:r w:rsidRPr="00885519">
              <w:rPr>
                <w:rFonts w:ascii="Times New Roman" w:hAnsi="Times New Roman" w:cs="Times New Roman"/>
                <w:b/>
                <w:sz w:val="24"/>
                <w:szCs w:val="24"/>
                <w:lang w:val="uk-UA"/>
              </w:rPr>
              <w:t>Станом на 01.01.2013 року</w:t>
            </w:r>
          </w:p>
        </w:tc>
        <w:tc>
          <w:tcPr>
            <w:tcW w:w="851" w:type="dxa"/>
          </w:tcPr>
          <w:p w:rsidR="00DA5F3A" w:rsidRPr="00885519" w:rsidRDefault="00DA5F3A" w:rsidP="00BD74AC">
            <w:pPr>
              <w:jc w:val="center"/>
              <w:rPr>
                <w:rFonts w:ascii="Times New Roman" w:hAnsi="Times New Roman" w:cs="Times New Roman"/>
                <w:b/>
                <w:sz w:val="24"/>
                <w:szCs w:val="24"/>
                <w:lang w:val="uk-UA"/>
              </w:rPr>
            </w:pPr>
            <w:r w:rsidRPr="00885519">
              <w:rPr>
                <w:rFonts w:ascii="Times New Roman" w:hAnsi="Times New Roman" w:cs="Times New Roman"/>
                <w:b/>
                <w:sz w:val="24"/>
                <w:szCs w:val="24"/>
                <w:lang w:val="uk-UA"/>
              </w:rPr>
              <w:t xml:space="preserve">План </w:t>
            </w:r>
          </w:p>
        </w:tc>
        <w:tc>
          <w:tcPr>
            <w:tcW w:w="1276" w:type="dxa"/>
          </w:tcPr>
          <w:p w:rsidR="00DA5F3A" w:rsidRPr="00885519" w:rsidRDefault="00DA5F3A" w:rsidP="00BD74AC">
            <w:pPr>
              <w:jc w:val="center"/>
              <w:rPr>
                <w:rFonts w:ascii="Times New Roman" w:hAnsi="Times New Roman" w:cs="Times New Roman"/>
                <w:b/>
                <w:sz w:val="24"/>
                <w:szCs w:val="24"/>
                <w:lang w:val="uk-UA"/>
              </w:rPr>
            </w:pPr>
            <w:r w:rsidRPr="00885519">
              <w:rPr>
                <w:rFonts w:ascii="Times New Roman" w:hAnsi="Times New Roman" w:cs="Times New Roman"/>
                <w:b/>
                <w:sz w:val="24"/>
                <w:szCs w:val="24"/>
                <w:lang w:val="uk-UA"/>
              </w:rPr>
              <w:t xml:space="preserve">Станом на 01.01.2014 року </w:t>
            </w:r>
          </w:p>
        </w:tc>
        <w:tc>
          <w:tcPr>
            <w:tcW w:w="850" w:type="dxa"/>
          </w:tcPr>
          <w:p w:rsidR="00DA5F3A" w:rsidRPr="00885519" w:rsidRDefault="00DA5F3A" w:rsidP="00BD74AC">
            <w:pPr>
              <w:jc w:val="center"/>
              <w:rPr>
                <w:rFonts w:ascii="Times New Roman" w:hAnsi="Times New Roman" w:cs="Times New Roman"/>
                <w:b/>
                <w:sz w:val="24"/>
                <w:szCs w:val="24"/>
                <w:lang w:val="uk-UA"/>
              </w:rPr>
            </w:pPr>
            <w:r w:rsidRPr="00885519">
              <w:rPr>
                <w:rFonts w:ascii="Times New Roman" w:hAnsi="Times New Roman" w:cs="Times New Roman"/>
                <w:b/>
                <w:sz w:val="24"/>
                <w:szCs w:val="24"/>
                <w:lang w:val="uk-UA"/>
              </w:rPr>
              <w:t xml:space="preserve">План </w:t>
            </w:r>
          </w:p>
          <w:p w:rsidR="00DA5F3A" w:rsidRPr="00885519" w:rsidRDefault="00DA5F3A" w:rsidP="00BD74AC">
            <w:pPr>
              <w:jc w:val="center"/>
              <w:rPr>
                <w:rFonts w:ascii="Times New Roman" w:hAnsi="Times New Roman" w:cs="Times New Roman"/>
                <w:b/>
                <w:sz w:val="24"/>
                <w:szCs w:val="24"/>
                <w:lang w:val="uk-UA"/>
              </w:rPr>
            </w:pPr>
          </w:p>
          <w:p w:rsidR="00DA5F3A" w:rsidRPr="00885519" w:rsidRDefault="00DA5F3A" w:rsidP="00BD74AC">
            <w:pPr>
              <w:jc w:val="center"/>
              <w:rPr>
                <w:rFonts w:ascii="Times New Roman" w:hAnsi="Times New Roman" w:cs="Times New Roman"/>
                <w:b/>
                <w:sz w:val="24"/>
                <w:szCs w:val="24"/>
                <w:lang w:val="uk-UA"/>
              </w:rPr>
            </w:pPr>
          </w:p>
        </w:tc>
      </w:tr>
      <w:tr w:rsidR="00DA5F3A" w:rsidTr="00885519">
        <w:tc>
          <w:tcPr>
            <w:tcW w:w="2977"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 xml:space="preserve">Кількість підприємств роздрібної торгівлі </w:t>
            </w:r>
          </w:p>
        </w:tc>
        <w:tc>
          <w:tcPr>
            <w:tcW w:w="1418"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188</w:t>
            </w:r>
          </w:p>
        </w:tc>
        <w:tc>
          <w:tcPr>
            <w:tcW w:w="1134" w:type="dxa"/>
          </w:tcPr>
          <w:p w:rsidR="00DA5F3A" w:rsidRPr="0097104B" w:rsidRDefault="00DA5F3A" w:rsidP="00BD74AC">
            <w:pPr>
              <w:jc w:val="center"/>
              <w:rPr>
                <w:rFonts w:ascii="Times New Roman" w:hAnsi="Times New Roman" w:cs="Times New Roman"/>
                <w:sz w:val="28"/>
                <w:szCs w:val="28"/>
                <w:lang w:val="uk-UA"/>
              </w:rPr>
            </w:pPr>
          </w:p>
        </w:tc>
        <w:tc>
          <w:tcPr>
            <w:tcW w:w="1275"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179</w:t>
            </w:r>
          </w:p>
        </w:tc>
        <w:tc>
          <w:tcPr>
            <w:tcW w:w="851" w:type="dxa"/>
          </w:tcPr>
          <w:p w:rsidR="00DA5F3A" w:rsidRPr="0097104B" w:rsidRDefault="00DA5F3A" w:rsidP="00BD74AC">
            <w:pPr>
              <w:jc w:val="center"/>
              <w:rPr>
                <w:rFonts w:ascii="Times New Roman" w:hAnsi="Times New Roman" w:cs="Times New Roman"/>
                <w:sz w:val="28"/>
                <w:szCs w:val="28"/>
                <w:lang w:val="uk-UA"/>
              </w:rPr>
            </w:pPr>
          </w:p>
        </w:tc>
        <w:tc>
          <w:tcPr>
            <w:tcW w:w="1276"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182</w:t>
            </w:r>
          </w:p>
        </w:tc>
        <w:tc>
          <w:tcPr>
            <w:tcW w:w="850" w:type="dxa"/>
          </w:tcPr>
          <w:p w:rsidR="00DA5F3A" w:rsidRPr="0097104B" w:rsidRDefault="00DA5F3A" w:rsidP="00BD74AC">
            <w:pPr>
              <w:jc w:val="center"/>
              <w:rPr>
                <w:rFonts w:ascii="Times New Roman" w:hAnsi="Times New Roman" w:cs="Times New Roman"/>
                <w:sz w:val="28"/>
                <w:szCs w:val="28"/>
                <w:lang w:val="uk-UA"/>
              </w:rPr>
            </w:pPr>
          </w:p>
        </w:tc>
      </w:tr>
      <w:tr w:rsidR="00DA5F3A" w:rsidTr="00885519">
        <w:tc>
          <w:tcPr>
            <w:tcW w:w="2977"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Відкрито за рік</w:t>
            </w:r>
          </w:p>
        </w:tc>
        <w:tc>
          <w:tcPr>
            <w:tcW w:w="1418"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4</w:t>
            </w:r>
          </w:p>
        </w:tc>
        <w:tc>
          <w:tcPr>
            <w:tcW w:w="1134"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3</w:t>
            </w:r>
          </w:p>
        </w:tc>
        <w:tc>
          <w:tcPr>
            <w:tcW w:w="1275"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21</w:t>
            </w:r>
          </w:p>
        </w:tc>
        <w:tc>
          <w:tcPr>
            <w:tcW w:w="851"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4</w:t>
            </w:r>
          </w:p>
        </w:tc>
        <w:tc>
          <w:tcPr>
            <w:tcW w:w="1276"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13</w:t>
            </w:r>
          </w:p>
        </w:tc>
        <w:tc>
          <w:tcPr>
            <w:tcW w:w="850"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4</w:t>
            </w:r>
          </w:p>
        </w:tc>
      </w:tr>
      <w:tr w:rsidR="00DA5F3A" w:rsidTr="00885519">
        <w:tc>
          <w:tcPr>
            <w:tcW w:w="2977"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 xml:space="preserve">Кількість підприємств ресторанного господарства </w:t>
            </w:r>
          </w:p>
        </w:tc>
        <w:tc>
          <w:tcPr>
            <w:tcW w:w="1418"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14</w:t>
            </w:r>
          </w:p>
        </w:tc>
        <w:tc>
          <w:tcPr>
            <w:tcW w:w="1134" w:type="dxa"/>
          </w:tcPr>
          <w:p w:rsidR="00DA5F3A" w:rsidRPr="0097104B" w:rsidRDefault="00DA5F3A" w:rsidP="00BD74AC">
            <w:pPr>
              <w:jc w:val="center"/>
              <w:rPr>
                <w:rFonts w:ascii="Times New Roman" w:hAnsi="Times New Roman" w:cs="Times New Roman"/>
                <w:sz w:val="28"/>
                <w:szCs w:val="28"/>
                <w:lang w:val="uk-UA"/>
              </w:rPr>
            </w:pPr>
          </w:p>
        </w:tc>
        <w:tc>
          <w:tcPr>
            <w:tcW w:w="1275"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15</w:t>
            </w:r>
          </w:p>
        </w:tc>
        <w:tc>
          <w:tcPr>
            <w:tcW w:w="851" w:type="dxa"/>
          </w:tcPr>
          <w:p w:rsidR="00DA5F3A" w:rsidRPr="0097104B" w:rsidRDefault="00DA5F3A" w:rsidP="00BD74AC">
            <w:pPr>
              <w:jc w:val="center"/>
              <w:rPr>
                <w:rFonts w:ascii="Times New Roman" w:hAnsi="Times New Roman" w:cs="Times New Roman"/>
                <w:sz w:val="28"/>
                <w:szCs w:val="28"/>
                <w:lang w:val="uk-UA"/>
              </w:rPr>
            </w:pPr>
          </w:p>
        </w:tc>
        <w:tc>
          <w:tcPr>
            <w:tcW w:w="1276"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15</w:t>
            </w:r>
          </w:p>
        </w:tc>
        <w:tc>
          <w:tcPr>
            <w:tcW w:w="850" w:type="dxa"/>
          </w:tcPr>
          <w:p w:rsidR="00DA5F3A" w:rsidRPr="0097104B" w:rsidRDefault="00DA5F3A" w:rsidP="00BD74AC">
            <w:pPr>
              <w:jc w:val="center"/>
              <w:rPr>
                <w:rFonts w:ascii="Times New Roman" w:hAnsi="Times New Roman" w:cs="Times New Roman"/>
                <w:sz w:val="28"/>
                <w:szCs w:val="28"/>
                <w:lang w:val="uk-UA"/>
              </w:rPr>
            </w:pPr>
          </w:p>
        </w:tc>
      </w:tr>
      <w:tr w:rsidR="00DA5F3A" w:rsidTr="00885519">
        <w:tc>
          <w:tcPr>
            <w:tcW w:w="2977"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Відкрито за рік</w:t>
            </w:r>
          </w:p>
        </w:tc>
        <w:tc>
          <w:tcPr>
            <w:tcW w:w="1418"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w:t>
            </w:r>
          </w:p>
        </w:tc>
        <w:tc>
          <w:tcPr>
            <w:tcW w:w="1134"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w:t>
            </w:r>
          </w:p>
        </w:tc>
        <w:tc>
          <w:tcPr>
            <w:tcW w:w="1275"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3</w:t>
            </w:r>
          </w:p>
        </w:tc>
        <w:tc>
          <w:tcPr>
            <w:tcW w:w="851"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2</w:t>
            </w:r>
          </w:p>
        </w:tc>
        <w:tc>
          <w:tcPr>
            <w:tcW w:w="1276"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w:t>
            </w:r>
          </w:p>
        </w:tc>
        <w:tc>
          <w:tcPr>
            <w:tcW w:w="850"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w:t>
            </w:r>
          </w:p>
        </w:tc>
      </w:tr>
      <w:tr w:rsidR="00DA5F3A" w:rsidTr="00885519">
        <w:tc>
          <w:tcPr>
            <w:tcW w:w="2977"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 xml:space="preserve">Кількість підприємств по наданню побутових </w:t>
            </w:r>
            <w:r w:rsidRPr="0097104B">
              <w:rPr>
                <w:rFonts w:ascii="Times New Roman" w:hAnsi="Times New Roman" w:cs="Times New Roman"/>
                <w:sz w:val="28"/>
                <w:szCs w:val="28"/>
                <w:lang w:val="uk-UA"/>
              </w:rPr>
              <w:lastRenderedPageBreak/>
              <w:t>послуг населенню</w:t>
            </w:r>
          </w:p>
        </w:tc>
        <w:tc>
          <w:tcPr>
            <w:tcW w:w="1418"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lastRenderedPageBreak/>
              <w:t>63</w:t>
            </w:r>
          </w:p>
        </w:tc>
        <w:tc>
          <w:tcPr>
            <w:tcW w:w="1134" w:type="dxa"/>
          </w:tcPr>
          <w:p w:rsidR="00DA5F3A" w:rsidRPr="0097104B" w:rsidRDefault="00DA5F3A" w:rsidP="00BD74AC">
            <w:pPr>
              <w:jc w:val="center"/>
              <w:rPr>
                <w:rFonts w:ascii="Times New Roman" w:hAnsi="Times New Roman" w:cs="Times New Roman"/>
                <w:sz w:val="28"/>
                <w:szCs w:val="28"/>
                <w:lang w:val="uk-UA"/>
              </w:rPr>
            </w:pPr>
          </w:p>
        </w:tc>
        <w:tc>
          <w:tcPr>
            <w:tcW w:w="1275"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52</w:t>
            </w:r>
          </w:p>
        </w:tc>
        <w:tc>
          <w:tcPr>
            <w:tcW w:w="851" w:type="dxa"/>
          </w:tcPr>
          <w:p w:rsidR="00DA5F3A" w:rsidRPr="0097104B" w:rsidRDefault="00DA5F3A" w:rsidP="00BD74AC">
            <w:pPr>
              <w:jc w:val="center"/>
              <w:rPr>
                <w:rFonts w:ascii="Times New Roman" w:hAnsi="Times New Roman" w:cs="Times New Roman"/>
                <w:sz w:val="28"/>
                <w:szCs w:val="28"/>
                <w:lang w:val="uk-UA"/>
              </w:rPr>
            </w:pPr>
          </w:p>
        </w:tc>
        <w:tc>
          <w:tcPr>
            <w:tcW w:w="1276"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50</w:t>
            </w:r>
          </w:p>
        </w:tc>
        <w:tc>
          <w:tcPr>
            <w:tcW w:w="850" w:type="dxa"/>
          </w:tcPr>
          <w:p w:rsidR="00DA5F3A" w:rsidRPr="0097104B" w:rsidRDefault="00DA5F3A" w:rsidP="00BD74AC">
            <w:pPr>
              <w:jc w:val="center"/>
              <w:rPr>
                <w:rFonts w:ascii="Times New Roman" w:hAnsi="Times New Roman" w:cs="Times New Roman"/>
                <w:sz w:val="28"/>
                <w:szCs w:val="28"/>
                <w:lang w:val="uk-UA"/>
              </w:rPr>
            </w:pPr>
          </w:p>
        </w:tc>
      </w:tr>
      <w:tr w:rsidR="00DA5F3A" w:rsidTr="00885519">
        <w:tc>
          <w:tcPr>
            <w:tcW w:w="2977"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lastRenderedPageBreak/>
              <w:t>Відкрито за рік</w:t>
            </w:r>
          </w:p>
        </w:tc>
        <w:tc>
          <w:tcPr>
            <w:tcW w:w="1418"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w:t>
            </w:r>
          </w:p>
        </w:tc>
        <w:tc>
          <w:tcPr>
            <w:tcW w:w="1134"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1</w:t>
            </w:r>
          </w:p>
        </w:tc>
        <w:tc>
          <w:tcPr>
            <w:tcW w:w="1275"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4</w:t>
            </w:r>
          </w:p>
        </w:tc>
        <w:tc>
          <w:tcPr>
            <w:tcW w:w="851"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4</w:t>
            </w:r>
          </w:p>
        </w:tc>
        <w:tc>
          <w:tcPr>
            <w:tcW w:w="1276" w:type="dxa"/>
          </w:tcPr>
          <w:p w:rsidR="00DA5F3A" w:rsidRPr="0097104B" w:rsidRDefault="00DA5F3A" w:rsidP="00BD74AC">
            <w:pPr>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850" w:type="dxa"/>
          </w:tcPr>
          <w:p w:rsidR="00DA5F3A" w:rsidRPr="0097104B" w:rsidRDefault="00DA5F3A" w:rsidP="00BD74AC">
            <w:pPr>
              <w:jc w:val="center"/>
              <w:rPr>
                <w:rFonts w:ascii="Times New Roman" w:hAnsi="Times New Roman" w:cs="Times New Roman"/>
                <w:sz w:val="28"/>
                <w:szCs w:val="28"/>
                <w:lang w:val="uk-UA"/>
              </w:rPr>
            </w:pPr>
            <w:r w:rsidRPr="0097104B">
              <w:rPr>
                <w:rFonts w:ascii="Times New Roman" w:hAnsi="Times New Roman" w:cs="Times New Roman"/>
                <w:sz w:val="28"/>
                <w:szCs w:val="28"/>
                <w:lang w:val="uk-UA"/>
              </w:rPr>
              <w:t>-</w:t>
            </w:r>
          </w:p>
        </w:tc>
      </w:tr>
    </w:tbl>
    <w:p w:rsidR="00DA5F3A" w:rsidRDefault="00DA5F3A" w:rsidP="00BD74AC">
      <w:pPr>
        <w:spacing w:after="0" w:line="240" w:lineRule="auto"/>
        <w:ind w:firstLine="851"/>
        <w:jc w:val="center"/>
        <w:rPr>
          <w:rFonts w:ascii="Times New Roman" w:hAnsi="Times New Roman" w:cs="Times New Roman"/>
          <w:b/>
          <w:sz w:val="28"/>
          <w:szCs w:val="28"/>
          <w:lang w:val="uk-UA"/>
        </w:rPr>
      </w:pPr>
    </w:p>
    <w:p w:rsidR="00DA5F3A" w:rsidRDefault="00DA5F3A" w:rsidP="00BD74AC">
      <w:pPr>
        <w:spacing w:after="0" w:line="240" w:lineRule="auto"/>
        <w:ind w:firstLine="851"/>
        <w:jc w:val="center"/>
        <w:rPr>
          <w:rFonts w:ascii="Times New Roman" w:hAnsi="Times New Roman" w:cs="Times New Roman"/>
          <w:b/>
          <w:sz w:val="28"/>
          <w:szCs w:val="28"/>
          <w:lang w:val="uk-UA"/>
        </w:rPr>
      </w:pPr>
    </w:p>
    <w:p w:rsidR="00DA5F3A" w:rsidRPr="000F307C" w:rsidRDefault="00DA5F3A" w:rsidP="00DA5F3A">
      <w:pPr>
        <w:spacing w:after="0" w:line="240" w:lineRule="auto"/>
        <w:jc w:val="center"/>
        <w:rPr>
          <w:rFonts w:ascii="Times New Roman" w:hAnsi="Times New Roman" w:cs="Times New Roman"/>
          <w:b/>
          <w:sz w:val="28"/>
          <w:szCs w:val="28"/>
          <w:lang w:val="uk-UA"/>
        </w:rPr>
      </w:pPr>
      <w:r w:rsidRPr="000F307C">
        <w:rPr>
          <w:rFonts w:ascii="Times New Roman" w:hAnsi="Times New Roman" w:cs="Times New Roman"/>
          <w:b/>
          <w:sz w:val="28"/>
          <w:szCs w:val="28"/>
        </w:rPr>
        <w:t>Обсяг роздр</w:t>
      </w:r>
      <w:r w:rsidRPr="000F307C">
        <w:rPr>
          <w:rFonts w:ascii="Times New Roman" w:hAnsi="Times New Roman" w:cs="Times New Roman"/>
          <w:b/>
          <w:sz w:val="28"/>
          <w:szCs w:val="28"/>
          <w:lang w:val="uk-UA"/>
        </w:rPr>
        <w:t>і</w:t>
      </w:r>
      <w:r w:rsidRPr="000F307C">
        <w:rPr>
          <w:rFonts w:ascii="Times New Roman" w:hAnsi="Times New Roman" w:cs="Times New Roman"/>
          <w:b/>
          <w:sz w:val="28"/>
          <w:szCs w:val="28"/>
        </w:rPr>
        <w:t>бного товарообороту</w:t>
      </w:r>
    </w:p>
    <w:p w:rsidR="00DA5F3A" w:rsidRDefault="00DA5F3A" w:rsidP="00DA5F3A">
      <w:pPr>
        <w:spacing w:after="0" w:line="240" w:lineRule="auto"/>
        <w:jc w:val="center"/>
        <w:rPr>
          <w:rFonts w:ascii="Times New Roman" w:hAnsi="Times New Roman" w:cs="Times New Roman"/>
          <w:b/>
          <w:sz w:val="28"/>
          <w:szCs w:val="28"/>
          <w:lang w:val="uk-UA"/>
        </w:rPr>
      </w:pPr>
      <w:r w:rsidRPr="000F307C">
        <w:rPr>
          <w:rFonts w:ascii="Times New Roman" w:hAnsi="Times New Roman" w:cs="Times New Roman"/>
          <w:b/>
          <w:sz w:val="28"/>
          <w:szCs w:val="28"/>
          <w:lang w:val="uk-UA"/>
        </w:rPr>
        <w:t>підприємств-юридичних осіб Недригайлівського району, млн. грн.</w:t>
      </w:r>
    </w:p>
    <w:p w:rsidR="00885519" w:rsidRPr="000F307C" w:rsidRDefault="00885519" w:rsidP="00DA5F3A">
      <w:pPr>
        <w:spacing w:after="0" w:line="240" w:lineRule="auto"/>
        <w:jc w:val="center"/>
        <w:rPr>
          <w:rFonts w:ascii="Times New Roman" w:hAnsi="Times New Roman" w:cs="Times New Roman"/>
          <w:b/>
          <w:sz w:val="28"/>
          <w:szCs w:val="28"/>
          <w:lang w:val="uk-UA"/>
        </w:rPr>
      </w:pPr>
    </w:p>
    <w:p w:rsidR="00DA5F3A" w:rsidRDefault="00DA5F3A" w:rsidP="00DA5F3A">
      <w:pPr>
        <w:rPr>
          <w:lang w:val="uk-UA"/>
        </w:rPr>
      </w:pPr>
      <w:r>
        <w:rPr>
          <w:noProof/>
        </w:rPr>
        <w:drawing>
          <wp:inline distT="0" distB="0" distL="0" distR="0">
            <wp:extent cx="5219700" cy="3314700"/>
            <wp:effectExtent l="19050" t="0" r="1905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A5F3A" w:rsidRDefault="00DA5F3A" w:rsidP="00DA5F3A">
      <w:pPr>
        <w:spacing w:after="0"/>
        <w:jc w:val="both"/>
        <w:rPr>
          <w:rFonts w:ascii="Times New Roman" w:hAnsi="Times New Roman" w:cs="Times New Roman"/>
          <w:sz w:val="28"/>
          <w:szCs w:val="28"/>
          <w:lang w:val="uk-UA"/>
        </w:rPr>
      </w:pPr>
    </w:p>
    <w:p w:rsidR="000F307C" w:rsidRDefault="000F307C" w:rsidP="000F307C">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7. </w:t>
      </w:r>
      <w:r w:rsidRPr="00056CB8">
        <w:rPr>
          <w:rFonts w:ascii="Times New Roman" w:hAnsi="Times New Roman" w:cs="Times New Roman"/>
          <w:b/>
          <w:sz w:val="28"/>
          <w:szCs w:val="28"/>
          <w:lang w:val="uk-UA"/>
        </w:rPr>
        <w:t>Регуляторна політика та підприємництво</w:t>
      </w:r>
    </w:p>
    <w:p w:rsidR="000F307C" w:rsidRDefault="000F307C" w:rsidP="000F307C">
      <w:pPr>
        <w:spacing w:after="0"/>
        <w:rPr>
          <w:rFonts w:ascii="Times New Roman" w:hAnsi="Times New Roman" w:cs="Times New Roman"/>
          <w:b/>
          <w:sz w:val="28"/>
          <w:szCs w:val="28"/>
          <w:lang w:val="uk-UA"/>
        </w:rPr>
      </w:pPr>
    </w:p>
    <w:p w:rsidR="00F84AEF" w:rsidRDefault="000F307C" w:rsidP="00F84AEF">
      <w:pPr>
        <w:spacing w:after="0"/>
        <w:ind w:firstLine="709"/>
        <w:jc w:val="both"/>
        <w:rPr>
          <w:rFonts w:ascii="Times New Roman" w:eastAsia="Times New Roman" w:hAnsi="Times New Roman" w:cs="Times New Roman"/>
          <w:bCs/>
          <w:sz w:val="28"/>
          <w:szCs w:val="28"/>
          <w:lang w:val="uk-UA"/>
        </w:rPr>
      </w:pPr>
      <w:r w:rsidRPr="00056CB8">
        <w:rPr>
          <w:rFonts w:ascii="Times New Roman" w:eastAsia="Times New Roman" w:hAnsi="Times New Roman" w:cs="Times New Roman"/>
          <w:bCs/>
          <w:sz w:val="28"/>
          <w:szCs w:val="28"/>
        </w:rPr>
        <w:t xml:space="preserve">За 2013 </w:t>
      </w:r>
      <w:proofErr w:type="gramStart"/>
      <w:r w:rsidRPr="00056CB8">
        <w:rPr>
          <w:rFonts w:ascii="Times New Roman" w:eastAsia="Times New Roman" w:hAnsi="Times New Roman" w:cs="Times New Roman"/>
          <w:bCs/>
          <w:sz w:val="28"/>
          <w:szCs w:val="28"/>
        </w:rPr>
        <w:t>р</w:t>
      </w:r>
      <w:proofErr w:type="gramEnd"/>
      <w:r w:rsidRPr="00056CB8">
        <w:rPr>
          <w:rFonts w:ascii="Times New Roman" w:eastAsia="Times New Roman" w:hAnsi="Times New Roman" w:cs="Times New Roman"/>
          <w:bCs/>
          <w:sz w:val="28"/>
          <w:szCs w:val="28"/>
        </w:rPr>
        <w:t>ік проведене відстеження  результативності  25 регуляторних актів. В результаті проведеного відстеження переглянуто - 5, скасовано – 3 регуляторні акти.</w:t>
      </w:r>
    </w:p>
    <w:p w:rsidR="000F307C" w:rsidRPr="00056CB8" w:rsidRDefault="000F307C" w:rsidP="00F84AEF">
      <w:pPr>
        <w:spacing w:after="0"/>
        <w:ind w:firstLine="709"/>
        <w:jc w:val="both"/>
        <w:rPr>
          <w:rFonts w:ascii="Times New Roman" w:eastAsia="Times New Roman" w:hAnsi="Times New Roman" w:cs="Times New Roman"/>
          <w:sz w:val="28"/>
          <w:szCs w:val="28"/>
        </w:rPr>
      </w:pPr>
      <w:r w:rsidRPr="00056CB8">
        <w:rPr>
          <w:rFonts w:ascii="Times New Roman" w:eastAsia="Times New Roman" w:hAnsi="Times New Roman" w:cs="Times New Roman"/>
          <w:sz w:val="28"/>
          <w:szCs w:val="28"/>
        </w:rPr>
        <w:t xml:space="preserve">У 2013 році кількість суб’єктів малого і середнього </w:t>
      </w:r>
      <w:proofErr w:type="gramStart"/>
      <w:r w:rsidRPr="00056CB8">
        <w:rPr>
          <w:rFonts w:ascii="Times New Roman" w:eastAsia="Times New Roman" w:hAnsi="Times New Roman" w:cs="Times New Roman"/>
          <w:sz w:val="28"/>
          <w:szCs w:val="28"/>
        </w:rPr>
        <w:t>п</w:t>
      </w:r>
      <w:proofErr w:type="gramEnd"/>
      <w:r w:rsidRPr="00056CB8">
        <w:rPr>
          <w:rFonts w:ascii="Times New Roman" w:eastAsia="Times New Roman" w:hAnsi="Times New Roman" w:cs="Times New Roman"/>
          <w:sz w:val="28"/>
          <w:szCs w:val="28"/>
        </w:rPr>
        <w:t xml:space="preserve">ідприємництва становила 228 одиниць на 10 тис. осіб наявного населення. В районі працює 535 фізичних осіб </w:t>
      </w:r>
      <w:proofErr w:type="gramStart"/>
      <w:r w:rsidRPr="00056CB8">
        <w:rPr>
          <w:rFonts w:ascii="Times New Roman" w:eastAsia="Times New Roman" w:hAnsi="Times New Roman" w:cs="Times New Roman"/>
          <w:sz w:val="28"/>
          <w:szCs w:val="28"/>
        </w:rPr>
        <w:t>п</w:t>
      </w:r>
      <w:proofErr w:type="gramEnd"/>
      <w:r w:rsidRPr="00056CB8">
        <w:rPr>
          <w:rFonts w:ascii="Times New Roman" w:eastAsia="Times New Roman" w:hAnsi="Times New Roman" w:cs="Times New Roman"/>
          <w:sz w:val="28"/>
          <w:szCs w:val="28"/>
        </w:rPr>
        <w:t xml:space="preserve">ідприємців та 37 малих підприємств. Постійно розвивається інфраструктура </w:t>
      </w:r>
      <w:proofErr w:type="gramStart"/>
      <w:r w:rsidRPr="00056CB8">
        <w:rPr>
          <w:rFonts w:ascii="Times New Roman" w:eastAsia="Times New Roman" w:hAnsi="Times New Roman" w:cs="Times New Roman"/>
          <w:sz w:val="28"/>
          <w:szCs w:val="28"/>
        </w:rPr>
        <w:t>п</w:t>
      </w:r>
      <w:proofErr w:type="gramEnd"/>
      <w:r w:rsidRPr="00056CB8">
        <w:rPr>
          <w:rFonts w:ascii="Times New Roman" w:eastAsia="Times New Roman" w:hAnsi="Times New Roman" w:cs="Times New Roman"/>
          <w:sz w:val="28"/>
          <w:szCs w:val="28"/>
        </w:rPr>
        <w:t xml:space="preserve">ідтримки підприємництва, працює 4 страхові компанії, активно діє спілка підприємців Недригайлівщини та рада підприємців при Недригайлівській районній державні адміністрації, які очолює Качинська Наталія Іванівна. В поточному році проведено 4 наради з </w:t>
      </w:r>
      <w:proofErr w:type="gramStart"/>
      <w:r w:rsidRPr="00056CB8">
        <w:rPr>
          <w:rFonts w:ascii="Times New Roman" w:eastAsia="Times New Roman" w:hAnsi="Times New Roman" w:cs="Times New Roman"/>
          <w:sz w:val="28"/>
          <w:szCs w:val="28"/>
        </w:rPr>
        <w:t>п</w:t>
      </w:r>
      <w:proofErr w:type="gramEnd"/>
      <w:r w:rsidRPr="00056CB8">
        <w:rPr>
          <w:rFonts w:ascii="Times New Roman" w:eastAsia="Times New Roman" w:hAnsi="Times New Roman" w:cs="Times New Roman"/>
          <w:sz w:val="28"/>
          <w:szCs w:val="28"/>
        </w:rPr>
        <w:t xml:space="preserve">ідприємцями району та 4 координаційні  ради з питань розвитку підприємництва при Недригайлівській районній державні адміністрації, урочистості з нагоди Дня підприємця, «круглий» стіл за участю підприємців та місцевих товаровиробників, на яких розглянуті актуальні питання та проблеми </w:t>
      </w:r>
      <w:proofErr w:type="gramStart"/>
      <w:r w:rsidRPr="00056CB8">
        <w:rPr>
          <w:rFonts w:ascii="Times New Roman" w:eastAsia="Times New Roman" w:hAnsi="Times New Roman" w:cs="Times New Roman"/>
          <w:sz w:val="28"/>
          <w:szCs w:val="28"/>
        </w:rPr>
        <w:t>п</w:t>
      </w:r>
      <w:proofErr w:type="gramEnd"/>
      <w:r w:rsidRPr="00056CB8">
        <w:rPr>
          <w:rFonts w:ascii="Times New Roman" w:eastAsia="Times New Roman" w:hAnsi="Times New Roman" w:cs="Times New Roman"/>
          <w:sz w:val="28"/>
          <w:szCs w:val="28"/>
        </w:rPr>
        <w:t xml:space="preserve">ідприємництва. Крім того, з лютого 2012 року в районі діє </w:t>
      </w:r>
      <w:r w:rsidRPr="00056CB8">
        <w:rPr>
          <w:rFonts w:ascii="Times New Roman" w:eastAsia="Times New Roman" w:hAnsi="Times New Roman" w:cs="Times New Roman"/>
          <w:sz w:val="28"/>
          <w:szCs w:val="28"/>
        </w:rPr>
        <w:lastRenderedPageBreak/>
        <w:t>громадська організація «Туристичний кластер»</w:t>
      </w:r>
      <w:r w:rsidR="00F84AEF">
        <w:rPr>
          <w:rFonts w:ascii="Times New Roman" w:eastAsia="Times New Roman" w:hAnsi="Times New Roman" w:cs="Times New Roman"/>
          <w:sz w:val="28"/>
          <w:szCs w:val="28"/>
        </w:rPr>
        <w:t xml:space="preserve"> Посулля»,  голова організації </w:t>
      </w:r>
      <w:r w:rsidRPr="00056CB8">
        <w:rPr>
          <w:rFonts w:ascii="Times New Roman" w:eastAsia="Times New Roman" w:hAnsi="Times New Roman" w:cs="Times New Roman"/>
          <w:sz w:val="28"/>
          <w:szCs w:val="28"/>
        </w:rPr>
        <w:t>Прокопченко Ольга Григорівна.</w:t>
      </w:r>
    </w:p>
    <w:p w:rsidR="000F307C" w:rsidRPr="00056CB8" w:rsidRDefault="000F307C" w:rsidP="00F84AEF">
      <w:pPr>
        <w:spacing w:after="0" w:line="240" w:lineRule="auto"/>
        <w:ind w:firstLine="708"/>
        <w:jc w:val="both"/>
        <w:rPr>
          <w:rFonts w:ascii="Times New Roman" w:eastAsia="Times New Roman" w:hAnsi="Times New Roman" w:cs="Times New Roman"/>
          <w:sz w:val="28"/>
          <w:szCs w:val="28"/>
        </w:rPr>
      </w:pPr>
      <w:r w:rsidRPr="00056CB8">
        <w:rPr>
          <w:rFonts w:ascii="Times New Roman" w:eastAsia="Times New Roman" w:hAnsi="Times New Roman" w:cs="Times New Roman"/>
          <w:bCs/>
          <w:spacing w:val="-2"/>
          <w:sz w:val="28"/>
          <w:szCs w:val="28"/>
        </w:rPr>
        <w:t xml:space="preserve">Незмінною залишається тенденція до зростання частки малих </w:t>
      </w:r>
      <w:proofErr w:type="gramStart"/>
      <w:r w:rsidRPr="00056CB8">
        <w:rPr>
          <w:rFonts w:ascii="Times New Roman" w:eastAsia="Times New Roman" w:hAnsi="Times New Roman" w:cs="Times New Roman"/>
          <w:bCs/>
          <w:spacing w:val="-2"/>
          <w:sz w:val="28"/>
          <w:szCs w:val="28"/>
        </w:rPr>
        <w:t>п</w:t>
      </w:r>
      <w:proofErr w:type="gramEnd"/>
      <w:r w:rsidRPr="00056CB8">
        <w:rPr>
          <w:rFonts w:ascii="Times New Roman" w:eastAsia="Times New Roman" w:hAnsi="Times New Roman" w:cs="Times New Roman"/>
          <w:bCs/>
          <w:spacing w:val="-2"/>
          <w:sz w:val="28"/>
          <w:szCs w:val="28"/>
        </w:rPr>
        <w:t>ідприємств</w:t>
      </w:r>
      <w:r w:rsidRPr="00056CB8">
        <w:rPr>
          <w:rFonts w:ascii="Times New Roman" w:eastAsia="Times New Roman" w:hAnsi="Times New Roman" w:cs="Times New Roman"/>
          <w:bCs/>
          <w:sz w:val="28"/>
          <w:szCs w:val="28"/>
        </w:rPr>
        <w:t xml:space="preserve"> </w:t>
      </w:r>
      <w:r w:rsidRPr="00056CB8">
        <w:rPr>
          <w:rFonts w:ascii="Times New Roman" w:eastAsia="Times New Roman" w:hAnsi="Times New Roman" w:cs="Times New Roman"/>
          <w:bCs/>
          <w:spacing w:val="-2"/>
          <w:sz w:val="28"/>
          <w:szCs w:val="28"/>
        </w:rPr>
        <w:t xml:space="preserve">в їх загальній кількості.  Питома вага суб’єктів малого та середнього бізнесу у загальному випуску продукції району складає більше 36%. </w:t>
      </w:r>
      <w:r w:rsidRPr="00056CB8">
        <w:rPr>
          <w:rFonts w:ascii="Times New Roman" w:eastAsia="Times New Roman" w:hAnsi="Times New Roman" w:cs="Times New Roman"/>
          <w:bCs/>
          <w:sz w:val="28"/>
          <w:szCs w:val="28"/>
        </w:rPr>
        <w:t xml:space="preserve">Більшість малих підприємств зосереджено в торгівлі (24%), що працюють з операціями з нерухомим майном, оренда та надання послуг (20,5%), промисловості (17,4%),  </w:t>
      </w:r>
      <w:r w:rsidRPr="00056CB8">
        <w:rPr>
          <w:rFonts w:ascii="Times New Roman" w:eastAsia="Times New Roman" w:hAnsi="Times New Roman" w:cs="Times New Roman"/>
          <w:snapToGrid w:val="0"/>
          <w:sz w:val="28"/>
          <w:szCs w:val="28"/>
        </w:rPr>
        <w:t>сільському, лісовому та рибному господарствах (</w:t>
      </w:r>
      <w:r w:rsidRPr="00056CB8">
        <w:rPr>
          <w:rFonts w:ascii="Times New Roman" w:eastAsia="Times New Roman" w:hAnsi="Times New Roman" w:cs="Times New Roman"/>
          <w:sz w:val="28"/>
          <w:szCs w:val="28"/>
        </w:rPr>
        <w:t>14,5%).</w:t>
      </w:r>
    </w:p>
    <w:p w:rsidR="000F307C" w:rsidRDefault="000F307C" w:rsidP="00F84AEF">
      <w:pPr>
        <w:spacing w:after="0" w:line="240" w:lineRule="auto"/>
        <w:ind w:firstLine="709"/>
        <w:jc w:val="both"/>
        <w:rPr>
          <w:rFonts w:ascii="Times New Roman" w:hAnsi="Times New Roman" w:cs="Times New Roman"/>
          <w:sz w:val="28"/>
          <w:szCs w:val="28"/>
          <w:lang w:val="uk-UA"/>
        </w:rPr>
      </w:pPr>
      <w:proofErr w:type="gramStart"/>
      <w:r w:rsidRPr="00056CB8">
        <w:rPr>
          <w:rFonts w:ascii="Times New Roman" w:eastAsia="Times New Roman" w:hAnsi="Times New Roman" w:cs="Times New Roman"/>
          <w:sz w:val="28"/>
          <w:szCs w:val="28"/>
        </w:rPr>
        <w:t>В</w:t>
      </w:r>
      <w:proofErr w:type="gramEnd"/>
      <w:r w:rsidRPr="00056CB8">
        <w:rPr>
          <w:rFonts w:ascii="Times New Roman" w:eastAsia="Times New Roman" w:hAnsi="Times New Roman" w:cs="Times New Roman"/>
          <w:sz w:val="28"/>
          <w:szCs w:val="28"/>
        </w:rPr>
        <w:t xml:space="preserve"> </w:t>
      </w:r>
      <w:proofErr w:type="gramStart"/>
      <w:r w:rsidRPr="00056CB8">
        <w:rPr>
          <w:rFonts w:ascii="Times New Roman" w:eastAsia="Times New Roman" w:hAnsi="Times New Roman" w:cs="Times New Roman"/>
          <w:sz w:val="28"/>
          <w:szCs w:val="28"/>
        </w:rPr>
        <w:t>сфер</w:t>
      </w:r>
      <w:proofErr w:type="gramEnd"/>
      <w:r w:rsidRPr="00056CB8">
        <w:rPr>
          <w:rFonts w:ascii="Times New Roman" w:eastAsia="Times New Roman" w:hAnsi="Times New Roman" w:cs="Times New Roman"/>
          <w:sz w:val="28"/>
          <w:szCs w:val="28"/>
        </w:rPr>
        <w:t>і малого і середнього бізнесу працевлаштовано понад 1200 осіб.</w:t>
      </w:r>
    </w:p>
    <w:p w:rsidR="000F307C" w:rsidRPr="0015265D" w:rsidRDefault="000F307C" w:rsidP="00F84AEF">
      <w:pPr>
        <w:spacing w:after="0" w:line="240" w:lineRule="auto"/>
        <w:ind w:firstLine="709"/>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За 2013 рік зареєстровано 50 фізичних осіб-підприємців, фізичними особами підприємцями для найманих працівників створено 172 робочих місця.</w:t>
      </w:r>
    </w:p>
    <w:p w:rsidR="000F307C" w:rsidRPr="00056CB8" w:rsidRDefault="000F307C" w:rsidP="00F84AEF">
      <w:pPr>
        <w:spacing w:after="0" w:line="240" w:lineRule="auto"/>
        <w:ind w:firstLine="709"/>
        <w:jc w:val="both"/>
        <w:rPr>
          <w:rFonts w:ascii="Times New Roman" w:eastAsia="Times New Roman" w:hAnsi="Times New Roman" w:cs="Times New Roman"/>
          <w:sz w:val="28"/>
          <w:szCs w:val="28"/>
        </w:rPr>
      </w:pPr>
      <w:r w:rsidRPr="00056CB8">
        <w:rPr>
          <w:rFonts w:ascii="Times New Roman" w:eastAsia="Times New Roman" w:hAnsi="Times New Roman" w:cs="Times New Roman"/>
          <w:sz w:val="28"/>
          <w:szCs w:val="28"/>
        </w:rPr>
        <w:t xml:space="preserve">В 2013 році 5 осіб отримали одноразову допомогу по безробіттю для організації </w:t>
      </w:r>
      <w:proofErr w:type="gramStart"/>
      <w:r w:rsidRPr="00056CB8">
        <w:rPr>
          <w:rFonts w:ascii="Times New Roman" w:eastAsia="Times New Roman" w:hAnsi="Times New Roman" w:cs="Times New Roman"/>
          <w:sz w:val="28"/>
          <w:szCs w:val="28"/>
        </w:rPr>
        <w:t>п</w:t>
      </w:r>
      <w:proofErr w:type="gramEnd"/>
      <w:r w:rsidRPr="00056CB8">
        <w:rPr>
          <w:rFonts w:ascii="Times New Roman" w:eastAsia="Times New Roman" w:hAnsi="Times New Roman" w:cs="Times New Roman"/>
          <w:sz w:val="28"/>
          <w:szCs w:val="28"/>
        </w:rPr>
        <w:t>ідприємницької діяльності.</w:t>
      </w:r>
    </w:p>
    <w:p w:rsidR="000F307C" w:rsidRPr="00056CB8" w:rsidRDefault="000F307C" w:rsidP="00F84AEF">
      <w:pPr>
        <w:spacing w:after="0" w:line="240" w:lineRule="auto"/>
        <w:ind w:firstLine="709"/>
        <w:jc w:val="both"/>
        <w:rPr>
          <w:rFonts w:ascii="Times New Roman" w:eastAsia="Times New Roman" w:hAnsi="Times New Roman" w:cs="Times New Roman"/>
          <w:sz w:val="28"/>
          <w:szCs w:val="28"/>
        </w:rPr>
      </w:pPr>
      <w:r w:rsidRPr="00056CB8">
        <w:rPr>
          <w:rFonts w:ascii="Times New Roman" w:eastAsia="Times New Roman" w:hAnsi="Times New Roman" w:cs="Times New Roman"/>
          <w:sz w:val="28"/>
          <w:szCs w:val="28"/>
        </w:rPr>
        <w:t xml:space="preserve">Надходження до бюджетів усіх рівнів </w:t>
      </w:r>
      <w:proofErr w:type="gramStart"/>
      <w:r w:rsidRPr="00056CB8">
        <w:rPr>
          <w:rFonts w:ascii="Times New Roman" w:eastAsia="Times New Roman" w:hAnsi="Times New Roman" w:cs="Times New Roman"/>
          <w:sz w:val="28"/>
          <w:szCs w:val="28"/>
        </w:rPr>
        <w:t>в</w:t>
      </w:r>
      <w:proofErr w:type="gramEnd"/>
      <w:r w:rsidRPr="00056CB8">
        <w:rPr>
          <w:rFonts w:ascii="Times New Roman" w:eastAsia="Times New Roman" w:hAnsi="Times New Roman" w:cs="Times New Roman"/>
          <w:sz w:val="28"/>
          <w:szCs w:val="28"/>
        </w:rPr>
        <w:t xml:space="preserve">ід фізичних осіб – підприємців </w:t>
      </w:r>
      <w:r w:rsidRPr="00056CB8">
        <w:rPr>
          <w:rFonts w:ascii="Times New Roman" w:eastAsia="Times New Roman" w:hAnsi="Times New Roman" w:cs="Times New Roman"/>
          <w:sz w:val="28"/>
          <w:szCs w:val="28"/>
        </w:rPr>
        <w:br/>
        <w:t>та малих підприємств за звітний період склали 1723.6 тис. гривень, що складає 6.3% до загальних надходжень до бюджету району та на 3.7% більше рівня 2012 року.</w:t>
      </w:r>
    </w:p>
    <w:p w:rsidR="000F307C" w:rsidRDefault="000F307C" w:rsidP="00F84AEF">
      <w:pPr>
        <w:spacing w:after="0" w:line="240" w:lineRule="auto"/>
        <w:ind w:firstLine="709"/>
        <w:jc w:val="both"/>
        <w:rPr>
          <w:rFonts w:ascii="Times New Roman" w:hAnsi="Times New Roman" w:cs="Times New Roman"/>
          <w:bCs/>
          <w:sz w:val="28"/>
          <w:szCs w:val="28"/>
          <w:lang w:val="uk-UA"/>
        </w:rPr>
      </w:pPr>
    </w:p>
    <w:p w:rsidR="000F307C" w:rsidRPr="003F489E" w:rsidRDefault="000F307C" w:rsidP="000F307C">
      <w:pPr>
        <w:spacing w:after="0" w:line="240" w:lineRule="auto"/>
        <w:jc w:val="center"/>
        <w:rPr>
          <w:rFonts w:ascii="Times New Roman" w:hAnsi="Times New Roman" w:cs="Times New Roman"/>
          <w:b/>
          <w:sz w:val="28"/>
          <w:szCs w:val="28"/>
          <w:lang w:val="uk-UA"/>
        </w:rPr>
      </w:pPr>
      <w:r w:rsidRPr="003F489E">
        <w:rPr>
          <w:rFonts w:ascii="Times New Roman" w:hAnsi="Times New Roman" w:cs="Times New Roman"/>
          <w:b/>
          <w:sz w:val="28"/>
          <w:szCs w:val="28"/>
          <w:lang w:val="uk-UA"/>
        </w:rPr>
        <w:t>Внесок малого бізнесу</w:t>
      </w:r>
    </w:p>
    <w:p w:rsidR="000F307C" w:rsidRPr="003F489E" w:rsidRDefault="000F307C" w:rsidP="000F307C">
      <w:pPr>
        <w:spacing w:after="0" w:line="240" w:lineRule="auto"/>
        <w:jc w:val="center"/>
        <w:rPr>
          <w:rFonts w:ascii="Times New Roman" w:hAnsi="Times New Roman" w:cs="Times New Roman"/>
          <w:b/>
          <w:sz w:val="28"/>
          <w:szCs w:val="28"/>
          <w:lang w:val="uk-UA"/>
        </w:rPr>
      </w:pPr>
      <w:r w:rsidRPr="003F489E">
        <w:rPr>
          <w:rFonts w:ascii="Times New Roman" w:hAnsi="Times New Roman" w:cs="Times New Roman"/>
          <w:b/>
          <w:sz w:val="28"/>
          <w:szCs w:val="28"/>
          <w:lang w:val="uk-UA"/>
        </w:rPr>
        <w:t>до податкових надходжень району, тис.грн.</w:t>
      </w:r>
    </w:p>
    <w:p w:rsidR="000F307C" w:rsidRPr="003F489E" w:rsidRDefault="000F307C" w:rsidP="000F307C">
      <w:pPr>
        <w:spacing w:after="0" w:line="240" w:lineRule="auto"/>
        <w:jc w:val="center"/>
        <w:rPr>
          <w:rFonts w:ascii="Times New Roman" w:hAnsi="Times New Roman" w:cs="Times New Roman"/>
          <w:b/>
          <w:sz w:val="28"/>
          <w:szCs w:val="28"/>
          <w:lang w:val="uk-UA"/>
        </w:rPr>
      </w:pPr>
    </w:p>
    <w:p w:rsidR="000F307C" w:rsidRDefault="000F307C" w:rsidP="000F307C">
      <w:pPr>
        <w:spacing w:after="0" w:line="240" w:lineRule="auto"/>
        <w:jc w:val="center"/>
        <w:rPr>
          <w:rFonts w:ascii="Times New Roman" w:hAnsi="Times New Roman" w:cs="Times New Roman"/>
          <w:sz w:val="36"/>
          <w:szCs w:val="36"/>
          <w:lang w:val="uk-UA"/>
        </w:rPr>
      </w:pPr>
      <w:r>
        <w:rPr>
          <w:rFonts w:ascii="Times New Roman" w:hAnsi="Times New Roman" w:cs="Times New Roman"/>
          <w:noProof/>
          <w:sz w:val="36"/>
          <w:szCs w:val="36"/>
        </w:rPr>
        <w:drawing>
          <wp:inline distT="0" distB="0" distL="0" distR="0">
            <wp:extent cx="5172075" cy="3038475"/>
            <wp:effectExtent l="19050" t="0" r="9525" b="0"/>
            <wp:docPr id="9"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F307C" w:rsidRDefault="000F307C" w:rsidP="000F307C">
      <w:pPr>
        <w:spacing w:after="0"/>
        <w:rPr>
          <w:rFonts w:ascii="Times New Roman" w:hAnsi="Times New Roman" w:cs="Times New Roman"/>
          <w:b/>
          <w:sz w:val="28"/>
          <w:szCs w:val="28"/>
          <w:lang w:val="uk-UA"/>
        </w:rPr>
      </w:pPr>
    </w:p>
    <w:p w:rsidR="005A3749" w:rsidRDefault="005A3749" w:rsidP="005A3749">
      <w:pPr>
        <w:widowControl w:val="0"/>
        <w:spacing w:after="0" w:line="240" w:lineRule="auto"/>
        <w:ind w:left="142"/>
        <w:jc w:val="center"/>
        <w:rPr>
          <w:rFonts w:ascii="Times New Roman" w:hAnsi="Times New Roman" w:cs="Times New Roman"/>
          <w:b/>
          <w:sz w:val="28"/>
          <w:szCs w:val="28"/>
          <w:lang w:val="uk-UA"/>
        </w:rPr>
      </w:pPr>
      <w:r w:rsidRPr="005A3749">
        <w:rPr>
          <w:rFonts w:ascii="Times New Roman" w:hAnsi="Times New Roman" w:cs="Times New Roman"/>
          <w:b/>
          <w:sz w:val="28"/>
          <w:szCs w:val="28"/>
          <w:lang w:val="uk-UA"/>
        </w:rPr>
        <w:t>8.</w:t>
      </w:r>
      <w:r w:rsidRPr="005A3749">
        <w:rPr>
          <w:rFonts w:ascii="Times New Roman" w:hAnsi="Times New Roman" w:cs="Times New Roman"/>
          <w:b/>
          <w:sz w:val="28"/>
          <w:szCs w:val="28"/>
        </w:rPr>
        <w:t xml:space="preserve"> </w:t>
      </w:r>
      <w:r w:rsidRPr="005A3749">
        <w:rPr>
          <w:rFonts w:ascii="Times New Roman" w:hAnsi="Times New Roman" w:cs="Times New Roman"/>
          <w:b/>
          <w:sz w:val="28"/>
          <w:szCs w:val="28"/>
          <w:lang w:val="uk-UA"/>
        </w:rPr>
        <w:t>Житлово-комунальне господарство</w:t>
      </w:r>
    </w:p>
    <w:p w:rsidR="005A3749" w:rsidRPr="005A3749" w:rsidRDefault="005A3749" w:rsidP="00F84AEF">
      <w:pPr>
        <w:widowControl w:val="0"/>
        <w:spacing w:after="0" w:line="240" w:lineRule="auto"/>
        <w:ind w:left="142"/>
        <w:jc w:val="center"/>
        <w:rPr>
          <w:rFonts w:ascii="Times New Roman" w:hAnsi="Times New Roman" w:cs="Times New Roman"/>
          <w:b/>
          <w:bCs/>
          <w:sz w:val="28"/>
          <w:szCs w:val="28"/>
          <w:u w:val="single"/>
        </w:rPr>
      </w:pPr>
      <w:r w:rsidRPr="005A3749">
        <w:rPr>
          <w:rFonts w:ascii="Times New Roman" w:hAnsi="Times New Roman" w:cs="Times New Roman"/>
          <w:b/>
          <w:sz w:val="28"/>
          <w:szCs w:val="28"/>
        </w:rPr>
        <w:t>Розроблення проектів зон санітарної охорони господарсько-питних водозаборі</w:t>
      </w:r>
      <w:proofErr w:type="gramStart"/>
      <w:r w:rsidRPr="005A3749">
        <w:rPr>
          <w:rFonts w:ascii="Times New Roman" w:hAnsi="Times New Roman" w:cs="Times New Roman"/>
          <w:b/>
          <w:sz w:val="28"/>
          <w:szCs w:val="28"/>
        </w:rPr>
        <w:t>в</w:t>
      </w:r>
      <w:proofErr w:type="gramEnd"/>
      <w:r w:rsidRPr="005A3749">
        <w:rPr>
          <w:rFonts w:ascii="Times New Roman" w:hAnsi="Times New Roman" w:cs="Times New Roman"/>
          <w:b/>
          <w:sz w:val="28"/>
          <w:szCs w:val="28"/>
        </w:rPr>
        <w:t>.</w:t>
      </w:r>
    </w:p>
    <w:p w:rsidR="005A3749" w:rsidRPr="005A3749" w:rsidRDefault="005A3749" w:rsidP="00082171">
      <w:pPr>
        <w:spacing w:line="240" w:lineRule="auto"/>
        <w:jc w:val="both"/>
        <w:rPr>
          <w:rFonts w:ascii="Times New Roman" w:hAnsi="Times New Roman" w:cs="Times New Roman"/>
          <w:bCs/>
          <w:sz w:val="28"/>
          <w:szCs w:val="28"/>
        </w:rPr>
      </w:pPr>
      <w:r w:rsidRPr="005A3749">
        <w:rPr>
          <w:rFonts w:ascii="Times New Roman" w:hAnsi="Times New Roman" w:cs="Times New Roman"/>
          <w:b/>
          <w:bCs/>
          <w:sz w:val="28"/>
          <w:szCs w:val="28"/>
        </w:rPr>
        <w:t xml:space="preserve">             </w:t>
      </w:r>
      <w:r w:rsidRPr="005A3749">
        <w:rPr>
          <w:rFonts w:ascii="Times New Roman" w:hAnsi="Times New Roman" w:cs="Times New Roman"/>
          <w:bCs/>
          <w:sz w:val="28"/>
          <w:szCs w:val="28"/>
        </w:rPr>
        <w:t xml:space="preserve">У 2013 та попередніх роках проекти зон санітарної охорони господарсько-питних водозаборів не розроблялися у зв’язку із відсутністю </w:t>
      </w:r>
      <w:r w:rsidRPr="005A3749">
        <w:rPr>
          <w:rFonts w:ascii="Times New Roman" w:hAnsi="Times New Roman" w:cs="Times New Roman"/>
          <w:bCs/>
          <w:sz w:val="28"/>
          <w:szCs w:val="28"/>
        </w:rPr>
        <w:lastRenderedPageBreak/>
        <w:t xml:space="preserve">коштів на вказані цілі. Недригайлівською районною державною </w:t>
      </w:r>
      <w:proofErr w:type="gramStart"/>
      <w:r w:rsidRPr="005A3749">
        <w:rPr>
          <w:rFonts w:ascii="Times New Roman" w:hAnsi="Times New Roman" w:cs="Times New Roman"/>
          <w:bCs/>
          <w:sz w:val="28"/>
          <w:szCs w:val="28"/>
        </w:rPr>
        <w:t>адм</w:t>
      </w:r>
      <w:proofErr w:type="gramEnd"/>
      <w:r w:rsidRPr="005A3749">
        <w:rPr>
          <w:rFonts w:ascii="Times New Roman" w:hAnsi="Times New Roman" w:cs="Times New Roman"/>
          <w:bCs/>
          <w:sz w:val="28"/>
          <w:szCs w:val="28"/>
        </w:rPr>
        <w:t xml:space="preserve">іністрацією від </w:t>
      </w:r>
      <w:r w:rsidRPr="005A3749">
        <w:rPr>
          <w:rFonts w:ascii="Times New Roman" w:hAnsi="Times New Roman" w:cs="Times New Roman"/>
          <w:sz w:val="28"/>
          <w:szCs w:val="28"/>
        </w:rPr>
        <w:t>02.01.2013 № 01-14/1943 до сільських і селищних рад та КП «Недригайліводосервіс»</w:t>
      </w:r>
      <w:r w:rsidRPr="005A3749">
        <w:rPr>
          <w:rFonts w:ascii="Times New Roman" w:hAnsi="Times New Roman" w:cs="Times New Roman"/>
          <w:bCs/>
          <w:sz w:val="28"/>
          <w:szCs w:val="28"/>
        </w:rPr>
        <w:t xml:space="preserve"> був направлений лист «</w:t>
      </w:r>
      <w:r w:rsidRPr="005A3749">
        <w:rPr>
          <w:rFonts w:ascii="Times New Roman" w:hAnsi="Times New Roman" w:cs="Times New Roman"/>
          <w:sz w:val="28"/>
          <w:szCs w:val="28"/>
        </w:rPr>
        <w:t>Про затвердження проектів зон санітарної охорони господарсько-питних водозаборі</w:t>
      </w:r>
      <w:proofErr w:type="gramStart"/>
      <w:r w:rsidRPr="005A3749">
        <w:rPr>
          <w:rFonts w:ascii="Times New Roman" w:hAnsi="Times New Roman" w:cs="Times New Roman"/>
          <w:sz w:val="28"/>
          <w:szCs w:val="28"/>
        </w:rPr>
        <w:t>в</w:t>
      </w:r>
      <w:proofErr w:type="gramEnd"/>
      <w:r w:rsidRPr="005A3749">
        <w:rPr>
          <w:rFonts w:ascii="Times New Roman" w:hAnsi="Times New Roman" w:cs="Times New Roman"/>
          <w:sz w:val="28"/>
          <w:szCs w:val="28"/>
        </w:rPr>
        <w:t>».</w:t>
      </w:r>
      <w:r w:rsidRPr="005A3749">
        <w:rPr>
          <w:rFonts w:ascii="Times New Roman" w:hAnsi="Times New Roman" w:cs="Times New Roman"/>
          <w:b/>
          <w:sz w:val="28"/>
          <w:szCs w:val="28"/>
        </w:rPr>
        <w:t xml:space="preserve"> </w:t>
      </w:r>
      <w:r w:rsidRPr="005A3749">
        <w:rPr>
          <w:rFonts w:ascii="Times New Roman" w:hAnsi="Times New Roman" w:cs="Times New Roman"/>
          <w:bCs/>
          <w:sz w:val="28"/>
          <w:szCs w:val="28"/>
        </w:rPr>
        <w:t xml:space="preserve">На 2014 </w:t>
      </w:r>
      <w:proofErr w:type="gramStart"/>
      <w:r w:rsidRPr="005A3749">
        <w:rPr>
          <w:rFonts w:ascii="Times New Roman" w:hAnsi="Times New Roman" w:cs="Times New Roman"/>
          <w:bCs/>
          <w:sz w:val="28"/>
          <w:szCs w:val="28"/>
        </w:rPr>
        <w:t>р</w:t>
      </w:r>
      <w:proofErr w:type="gramEnd"/>
      <w:r w:rsidRPr="005A3749">
        <w:rPr>
          <w:rFonts w:ascii="Times New Roman" w:hAnsi="Times New Roman" w:cs="Times New Roman"/>
          <w:bCs/>
          <w:sz w:val="28"/>
          <w:szCs w:val="28"/>
        </w:rPr>
        <w:t xml:space="preserve">ік заплановано виготовити 2 проекти зон санітарної охорони господарсько-питних водозаборів по КП «Недригайлівводосевіс» в смт Недриргайлів.  </w:t>
      </w:r>
    </w:p>
    <w:p w:rsidR="005A3749" w:rsidRPr="005A3749" w:rsidRDefault="005A3749" w:rsidP="00F84AEF">
      <w:pPr>
        <w:spacing w:line="240" w:lineRule="auto"/>
        <w:jc w:val="center"/>
        <w:rPr>
          <w:rFonts w:ascii="Times New Roman" w:hAnsi="Times New Roman" w:cs="Times New Roman"/>
          <w:b/>
          <w:sz w:val="28"/>
          <w:szCs w:val="28"/>
        </w:rPr>
      </w:pPr>
      <w:r w:rsidRPr="005A3749">
        <w:rPr>
          <w:rFonts w:ascii="Times New Roman" w:hAnsi="Times New Roman" w:cs="Times New Roman"/>
          <w:b/>
          <w:sz w:val="28"/>
          <w:szCs w:val="28"/>
        </w:rPr>
        <w:t xml:space="preserve">Встановлення засобів </w:t>
      </w:r>
      <w:proofErr w:type="gramStart"/>
      <w:r w:rsidRPr="005A3749">
        <w:rPr>
          <w:rFonts w:ascii="Times New Roman" w:hAnsi="Times New Roman" w:cs="Times New Roman"/>
          <w:b/>
          <w:sz w:val="28"/>
          <w:szCs w:val="28"/>
        </w:rPr>
        <w:t>обл</w:t>
      </w:r>
      <w:proofErr w:type="gramEnd"/>
      <w:r w:rsidRPr="005A3749">
        <w:rPr>
          <w:rFonts w:ascii="Times New Roman" w:hAnsi="Times New Roman" w:cs="Times New Roman"/>
          <w:b/>
          <w:sz w:val="28"/>
          <w:szCs w:val="28"/>
        </w:rPr>
        <w:t>іку води на свердловинах, що знаходяться на балансі (обслуговуванні) підприємств, що надають послуги з централізованого водопостачання.</w:t>
      </w:r>
    </w:p>
    <w:p w:rsidR="005A3749" w:rsidRPr="005A3749" w:rsidRDefault="005A3749" w:rsidP="00082171">
      <w:pPr>
        <w:spacing w:line="240" w:lineRule="auto"/>
        <w:jc w:val="both"/>
        <w:rPr>
          <w:rFonts w:ascii="Times New Roman" w:hAnsi="Times New Roman" w:cs="Times New Roman"/>
          <w:sz w:val="28"/>
          <w:szCs w:val="28"/>
        </w:rPr>
      </w:pPr>
      <w:r w:rsidRPr="005A3749">
        <w:rPr>
          <w:rFonts w:ascii="Times New Roman" w:hAnsi="Times New Roman" w:cs="Times New Roman"/>
          <w:b/>
          <w:sz w:val="28"/>
          <w:szCs w:val="28"/>
        </w:rPr>
        <w:t xml:space="preserve">        </w:t>
      </w:r>
      <w:proofErr w:type="gramStart"/>
      <w:r w:rsidRPr="005A3749">
        <w:rPr>
          <w:rFonts w:ascii="Times New Roman" w:hAnsi="Times New Roman" w:cs="Times New Roman"/>
          <w:sz w:val="28"/>
          <w:szCs w:val="28"/>
        </w:rPr>
        <w:t>З</w:t>
      </w:r>
      <w:proofErr w:type="gramEnd"/>
      <w:r w:rsidRPr="005A3749">
        <w:rPr>
          <w:rFonts w:ascii="Times New Roman" w:hAnsi="Times New Roman" w:cs="Times New Roman"/>
          <w:sz w:val="28"/>
          <w:szCs w:val="28"/>
        </w:rPr>
        <w:t xml:space="preserve"> метою встановлення засобів обліку води на свердловинах у 2013 році </w:t>
      </w:r>
      <w:r w:rsidRPr="005A3749">
        <w:rPr>
          <w:rFonts w:ascii="Times New Roman" w:hAnsi="Times New Roman" w:cs="Times New Roman"/>
          <w:bCs/>
          <w:sz w:val="28"/>
          <w:szCs w:val="28"/>
        </w:rPr>
        <w:t xml:space="preserve">Недригайлівською районною державною адміністрацією від </w:t>
      </w:r>
      <w:r w:rsidRPr="005A3749">
        <w:rPr>
          <w:rFonts w:ascii="Times New Roman" w:hAnsi="Times New Roman" w:cs="Times New Roman"/>
          <w:sz w:val="28"/>
          <w:szCs w:val="28"/>
        </w:rPr>
        <w:t xml:space="preserve">  07.12.2012  № 01-09/1667 до сільських і селищних рад був направлений лист «Про облаштування артсвердловин». По КП «Недригайлівводосервіс» на артсвердловині встановлено прилад </w:t>
      </w:r>
      <w:proofErr w:type="gramStart"/>
      <w:r w:rsidRPr="005A3749">
        <w:rPr>
          <w:rFonts w:ascii="Times New Roman" w:hAnsi="Times New Roman" w:cs="Times New Roman"/>
          <w:sz w:val="28"/>
          <w:szCs w:val="28"/>
        </w:rPr>
        <w:t>обл</w:t>
      </w:r>
      <w:proofErr w:type="gramEnd"/>
      <w:r w:rsidRPr="005A3749">
        <w:rPr>
          <w:rFonts w:ascii="Times New Roman" w:hAnsi="Times New Roman" w:cs="Times New Roman"/>
          <w:sz w:val="28"/>
          <w:szCs w:val="28"/>
        </w:rPr>
        <w:t>іку, на 2014 рік заплановано придбати прилад обліку для резервної артсвердловини.</w:t>
      </w:r>
    </w:p>
    <w:p w:rsidR="005A3749" w:rsidRPr="005A3749" w:rsidRDefault="005A3749" w:rsidP="00F84AEF">
      <w:pPr>
        <w:spacing w:line="240" w:lineRule="auto"/>
        <w:jc w:val="center"/>
        <w:rPr>
          <w:rFonts w:ascii="Times New Roman" w:hAnsi="Times New Roman" w:cs="Times New Roman"/>
          <w:b/>
          <w:sz w:val="28"/>
          <w:szCs w:val="28"/>
        </w:rPr>
      </w:pPr>
      <w:r w:rsidRPr="005A3749">
        <w:rPr>
          <w:rFonts w:ascii="Times New Roman" w:hAnsi="Times New Roman" w:cs="Times New Roman"/>
          <w:b/>
          <w:sz w:val="28"/>
          <w:szCs w:val="28"/>
        </w:rPr>
        <w:t xml:space="preserve">Встановлення засобів </w:t>
      </w:r>
      <w:proofErr w:type="gramStart"/>
      <w:r w:rsidRPr="005A3749">
        <w:rPr>
          <w:rFonts w:ascii="Times New Roman" w:hAnsi="Times New Roman" w:cs="Times New Roman"/>
          <w:b/>
          <w:sz w:val="28"/>
          <w:szCs w:val="28"/>
        </w:rPr>
        <w:t>обл</w:t>
      </w:r>
      <w:proofErr w:type="gramEnd"/>
      <w:r w:rsidRPr="005A3749">
        <w:rPr>
          <w:rFonts w:ascii="Times New Roman" w:hAnsi="Times New Roman" w:cs="Times New Roman"/>
          <w:b/>
          <w:sz w:val="28"/>
          <w:szCs w:val="28"/>
        </w:rPr>
        <w:t>іку стоків на очисних спорудах та каналізаційних насосних станціях, що знаходяться на балансі (обслуговуванні) підприємств, що надають послуги з централізованого водовідведення.</w:t>
      </w:r>
    </w:p>
    <w:p w:rsidR="005A3749" w:rsidRPr="005A3749" w:rsidRDefault="005A3749" w:rsidP="00082171">
      <w:pPr>
        <w:spacing w:line="240" w:lineRule="auto"/>
        <w:jc w:val="both"/>
        <w:rPr>
          <w:rFonts w:ascii="Times New Roman" w:hAnsi="Times New Roman" w:cs="Times New Roman"/>
          <w:sz w:val="28"/>
          <w:szCs w:val="28"/>
        </w:rPr>
      </w:pPr>
      <w:r w:rsidRPr="005A3749">
        <w:rPr>
          <w:rFonts w:ascii="Times New Roman" w:hAnsi="Times New Roman" w:cs="Times New Roman"/>
          <w:b/>
          <w:sz w:val="28"/>
          <w:szCs w:val="28"/>
        </w:rPr>
        <w:t xml:space="preserve">     </w:t>
      </w:r>
      <w:r w:rsidRPr="005A3749">
        <w:rPr>
          <w:rFonts w:ascii="Times New Roman" w:hAnsi="Times New Roman" w:cs="Times New Roman"/>
          <w:sz w:val="28"/>
          <w:szCs w:val="28"/>
        </w:rPr>
        <w:t xml:space="preserve">У 2013році та попередніх  роках засоби </w:t>
      </w:r>
      <w:proofErr w:type="gramStart"/>
      <w:r w:rsidRPr="005A3749">
        <w:rPr>
          <w:rFonts w:ascii="Times New Roman" w:hAnsi="Times New Roman" w:cs="Times New Roman"/>
          <w:sz w:val="28"/>
          <w:szCs w:val="28"/>
        </w:rPr>
        <w:t>обл</w:t>
      </w:r>
      <w:proofErr w:type="gramEnd"/>
      <w:r w:rsidRPr="005A3749">
        <w:rPr>
          <w:rFonts w:ascii="Times New Roman" w:hAnsi="Times New Roman" w:cs="Times New Roman"/>
          <w:sz w:val="28"/>
          <w:szCs w:val="28"/>
        </w:rPr>
        <w:t xml:space="preserve">іку на очисних спорудах та КНС КП «Недригайлівводосервіс» не встановлювалися. На 2014 </w:t>
      </w:r>
      <w:proofErr w:type="gramStart"/>
      <w:r w:rsidRPr="005A3749">
        <w:rPr>
          <w:rFonts w:ascii="Times New Roman" w:hAnsi="Times New Roman" w:cs="Times New Roman"/>
          <w:sz w:val="28"/>
          <w:szCs w:val="28"/>
        </w:rPr>
        <w:t>р</w:t>
      </w:r>
      <w:proofErr w:type="gramEnd"/>
      <w:r w:rsidRPr="005A3749">
        <w:rPr>
          <w:rFonts w:ascii="Times New Roman" w:hAnsi="Times New Roman" w:cs="Times New Roman"/>
          <w:sz w:val="28"/>
          <w:szCs w:val="28"/>
        </w:rPr>
        <w:t>ік заплановано облаштувати очисні споруди КП «Недригайлівводосервіс» засобом обліку стоків.</w:t>
      </w:r>
    </w:p>
    <w:p w:rsidR="005A3749" w:rsidRPr="005A3749" w:rsidRDefault="005A3749" w:rsidP="00F84AEF">
      <w:pPr>
        <w:spacing w:line="240" w:lineRule="auto"/>
        <w:jc w:val="center"/>
        <w:rPr>
          <w:rFonts w:ascii="Times New Roman" w:hAnsi="Times New Roman" w:cs="Times New Roman"/>
          <w:b/>
          <w:sz w:val="28"/>
          <w:szCs w:val="28"/>
        </w:rPr>
      </w:pPr>
      <w:r w:rsidRPr="005A3749">
        <w:rPr>
          <w:rFonts w:ascii="Times New Roman" w:hAnsi="Times New Roman" w:cs="Times New Roman"/>
          <w:b/>
          <w:sz w:val="28"/>
          <w:szCs w:val="28"/>
        </w:rPr>
        <w:t>Розроблення схем оптимізації роботи систем централізованого водопостачання та водовідведення.</w:t>
      </w:r>
    </w:p>
    <w:p w:rsidR="005A3749" w:rsidRPr="005A3749" w:rsidRDefault="005A3749" w:rsidP="00082171">
      <w:pPr>
        <w:spacing w:line="240" w:lineRule="auto"/>
        <w:jc w:val="both"/>
        <w:rPr>
          <w:rFonts w:ascii="Times New Roman" w:hAnsi="Times New Roman" w:cs="Times New Roman"/>
          <w:sz w:val="28"/>
          <w:szCs w:val="28"/>
        </w:rPr>
      </w:pPr>
      <w:r w:rsidRPr="005A3749">
        <w:rPr>
          <w:rFonts w:ascii="Times New Roman" w:hAnsi="Times New Roman" w:cs="Times New Roman"/>
          <w:b/>
          <w:sz w:val="28"/>
          <w:szCs w:val="28"/>
        </w:rPr>
        <w:t xml:space="preserve">         </w:t>
      </w:r>
      <w:r w:rsidRPr="005A3749">
        <w:rPr>
          <w:rFonts w:ascii="Times New Roman" w:hAnsi="Times New Roman" w:cs="Times New Roman"/>
          <w:sz w:val="28"/>
          <w:szCs w:val="28"/>
        </w:rPr>
        <w:t xml:space="preserve">У 2013 році схем оптимізації роботи систем централізованого водопостачання та водовідведення не розроблялися, так як вказані схеми оптимізації буди розроблені у 2012 році по смт. Недригайлів таТерни. На 2014 </w:t>
      </w:r>
      <w:proofErr w:type="gramStart"/>
      <w:r w:rsidRPr="005A3749">
        <w:rPr>
          <w:rFonts w:ascii="Times New Roman" w:hAnsi="Times New Roman" w:cs="Times New Roman"/>
          <w:sz w:val="28"/>
          <w:szCs w:val="28"/>
        </w:rPr>
        <w:t>р</w:t>
      </w:r>
      <w:proofErr w:type="gramEnd"/>
      <w:r w:rsidRPr="005A3749">
        <w:rPr>
          <w:rFonts w:ascii="Times New Roman" w:hAnsi="Times New Roman" w:cs="Times New Roman"/>
          <w:sz w:val="28"/>
          <w:szCs w:val="28"/>
        </w:rPr>
        <w:t>ік розроблення схем оптимізації не планується.</w:t>
      </w:r>
    </w:p>
    <w:p w:rsidR="006541BC" w:rsidRDefault="00C5736E" w:rsidP="00F84AEF">
      <w:pPr>
        <w:spacing w:line="240" w:lineRule="auto"/>
        <w:jc w:val="center"/>
        <w:rPr>
          <w:rFonts w:ascii="Times New Roman" w:hAnsi="Times New Roman" w:cs="Times New Roman"/>
          <w:sz w:val="28"/>
          <w:szCs w:val="28"/>
          <w:lang w:val="uk-UA"/>
        </w:rPr>
      </w:pPr>
      <w:r>
        <w:rPr>
          <w:rFonts w:ascii="Times New Roman" w:hAnsi="Times New Roman" w:cs="Times New Roman"/>
          <w:b/>
          <w:sz w:val="28"/>
          <w:szCs w:val="28"/>
          <w:lang w:val="uk-UA"/>
        </w:rPr>
        <w:t>В</w:t>
      </w:r>
      <w:r w:rsidR="005A3749" w:rsidRPr="005A3749">
        <w:rPr>
          <w:rFonts w:ascii="Times New Roman" w:hAnsi="Times New Roman" w:cs="Times New Roman"/>
          <w:b/>
          <w:sz w:val="28"/>
          <w:szCs w:val="28"/>
        </w:rPr>
        <w:t>иконання обласної програми «Питна вода України» на 2006- 2020 роки.</w:t>
      </w:r>
      <w:r w:rsidR="006541BC" w:rsidRPr="005A3749">
        <w:rPr>
          <w:rFonts w:ascii="Times New Roman" w:hAnsi="Times New Roman" w:cs="Times New Roman"/>
          <w:sz w:val="28"/>
          <w:szCs w:val="28"/>
        </w:rPr>
        <w:t xml:space="preserve">   </w:t>
      </w:r>
    </w:p>
    <w:p w:rsidR="005A3749" w:rsidRDefault="006541BC" w:rsidP="006541BC">
      <w:pPr>
        <w:spacing w:after="0" w:line="240" w:lineRule="auto"/>
        <w:jc w:val="center"/>
        <w:rPr>
          <w:rFonts w:ascii="Times New Roman" w:hAnsi="Times New Roman" w:cs="Times New Roman"/>
          <w:b/>
          <w:sz w:val="28"/>
          <w:szCs w:val="28"/>
          <w:lang w:val="uk-UA"/>
        </w:rPr>
      </w:pPr>
      <w:r w:rsidRPr="005A3749">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5A3749">
        <w:rPr>
          <w:rFonts w:ascii="Times New Roman" w:hAnsi="Times New Roman" w:cs="Times New Roman"/>
          <w:sz w:val="28"/>
          <w:szCs w:val="28"/>
        </w:rPr>
        <w:t xml:space="preserve">У 2012 році виконані роботи по будівництву водогону по  вул. </w:t>
      </w:r>
      <w:proofErr w:type="gramStart"/>
      <w:r w:rsidRPr="005A3749">
        <w:rPr>
          <w:rFonts w:ascii="Times New Roman" w:hAnsi="Times New Roman" w:cs="Times New Roman"/>
          <w:sz w:val="28"/>
          <w:szCs w:val="28"/>
        </w:rPr>
        <w:t>Кірова</w:t>
      </w:r>
      <w:proofErr w:type="gramEnd"/>
      <w:r w:rsidRPr="005A3749">
        <w:rPr>
          <w:rFonts w:ascii="Times New Roman" w:hAnsi="Times New Roman" w:cs="Times New Roman"/>
          <w:sz w:val="28"/>
          <w:szCs w:val="28"/>
        </w:rPr>
        <w:t>, Ювілейна та  пр. Ювілейний,  будівництво якого було розпочато в кінці минулого року, протяжність -  4 км, вартість  400, 0  тис</w:t>
      </w:r>
      <w:proofErr w:type="gramStart"/>
      <w:r w:rsidRPr="005A3749">
        <w:rPr>
          <w:rFonts w:ascii="Times New Roman" w:hAnsi="Times New Roman" w:cs="Times New Roman"/>
          <w:sz w:val="28"/>
          <w:szCs w:val="28"/>
        </w:rPr>
        <w:t>.</w:t>
      </w:r>
      <w:proofErr w:type="gramEnd"/>
      <w:r w:rsidRPr="005A3749">
        <w:rPr>
          <w:rFonts w:ascii="Times New Roman" w:hAnsi="Times New Roman" w:cs="Times New Roman"/>
          <w:sz w:val="28"/>
          <w:szCs w:val="28"/>
        </w:rPr>
        <w:t xml:space="preserve"> </w:t>
      </w:r>
      <w:proofErr w:type="gramStart"/>
      <w:r w:rsidRPr="005A3749">
        <w:rPr>
          <w:rFonts w:ascii="Times New Roman" w:hAnsi="Times New Roman" w:cs="Times New Roman"/>
          <w:sz w:val="28"/>
          <w:szCs w:val="28"/>
        </w:rPr>
        <w:t>г</w:t>
      </w:r>
      <w:proofErr w:type="gramEnd"/>
      <w:r w:rsidRPr="005A3749">
        <w:rPr>
          <w:rFonts w:ascii="Times New Roman" w:hAnsi="Times New Roman" w:cs="Times New Roman"/>
          <w:sz w:val="28"/>
          <w:szCs w:val="28"/>
        </w:rPr>
        <w:t xml:space="preserve">рн. Були </w:t>
      </w:r>
      <w:proofErr w:type="gramStart"/>
      <w:r w:rsidRPr="005A3749">
        <w:rPr>
          <w:rFonts w:ascii="Times New Roman" w:hAnsi="Times New Roman" w:cs="Times New Roman"/>
          <w:sz w:val="28"/>
          <w:szCs w:val="28"/>
        </w:rPr>
        <w:t>проведен</w:t>
      </w:r>
      <w:proofErr w:type="gramEnd"/>
      <w:r w:rsidRPr="005A3749">
        <w:rPr>
          <w:rFonts w:ascii="Times New Roman" w:hAnsi="Times New Roman" w:cs="Times New Roman"/>
          <w:sz w:val="28"/>
          <w:szCs w:val="28"/>
        </w:rPr>
        <w:t>і роботи по будівництву дюкера через р. Сула для водопостачання с. Засулля</w:t>
      </w:r>
    </w:p>
    <w:p w:rsidR="005A3749" w:rsidRPr="005A3749" w:rsidRDefault="005A3749" w:rsidP="006541BC">
      <w:pPr>
        <w:tabs>
          <w:tab w:val="left" w:pos="3600"/>
        </w:tabs>
        <w:spacing w:after="0" w:line="240" w:lineRule="auto"/>
        <w:jc w:val="both"/>
        <w:rPr>
          <w:rFonts w:ascii="Times New Roman" w:hAnsi="Times New Roman" w:cs="Times New Roman"/>
          <w:sz w:val="28"/>
          <w:szCs w:val="28"/>
        </w:rPr>
      </w:pPr>
      <w:r w:rsidRPr="00F84AEF">
        <w:rPr>
          <w:rFonts w:ascii="Times New Roman" w:hAnsi="Times New Roman" w:cs="Times New Roman"/>
          <w:b/>
          <w:sz w:val="28"/>
          <w:szCs w:val="28"/>
          <w:lang w:val="uk-UA"/>
        </w:rPr>
        <w:t xml:space="preserve">          </w:t>
      </w:r>
      <w:r w:rsidRPr="00F84AEF">
        <w:rPr>
          <w:rFonts w:ascii="Times New Roman" w:hAnsi="Times New Roman" w:cs="Times New Roman"/>
          <w:sz w:val="28"/>
          <w:szCs w:val="28"/>
          <w:lang w:val="uk-UA"/>
        </w:rPr>
        <w:t xml:space="preserve">  З метою будівництва водогонів у 2013 році були створені громадські організації “Караван” с. Козельне  та “Криниця-Т” с. Томашівка, якими була замовлена проектно-кошторисна документація на будівництво водогонів і були виконані наступні об’єми робіт: по селу Томашівка побудовано 5,9 км водогону на суму 295,0 тис. грн., по селу Козельне  побудовано 8,6 км водогону, при вартості будівництва 800,0 тис. грн., по селу Засулля із 3,7 км </w:t>
      </w:r>
      <w:r w:rsidRPr="00F84AEF">
        <w:rPr>
          <w:rFonts w:ascii="Times New Roman" w:hAnsi="Times New Roman" w:cs="Times New Roman"/>
          <w:sz w:val="28"/>
          <w:szCs w:val="28"/>
          <w:lang w:val="uk-UA"/>
        </w:rPr>
        <w:lastRenderedPageBreak/>
        <w:t xml:space="preserve">побудовано 3 км водогону при вартості будівництва 516,0 тис. грн. </w:t>
      </w:r>
      <w:r w:rsidRPr="005A3749">
        <w:rPr>
          <w:rFonts w:ascii="Times New Roman" w:hAnsi="Times New Roman" w:cs="Times New Roman"/>
          <w:sz w:val="28"/>
          <w:szCs w:val="28"/>
        </w:rPr>
        <w:t>Також була створена  громадська організація «Джерельна вода» з будівництва водогону в с. Сакуниха протяжністю 7 км на суму   448,0 тис</w:t>
      </w:r>
      <w:proofErr w:type="gramStart"/>
      <w:r w:rsidRPr="005A3749">
        <w:rPr>
          <w:rFonts w:ascii="Times New Roman" w:hAnsi="Times New Roman" w:cs="Times New Roman"/>
          <w:sz w:val="28"/>
          <w:szCs w:val="28"/>
        </w:rPr>
        <w:t>.</w:t>
      </w:r>
      <w:proofErr w:type="gramEnd"/>
      <w:r w:rsidRPr="005A3749">
        <w:rPr>
          <w:rFonts w:ascii="Times New Roman" w:hAnsi="Times New Roman" w:cs="Times New Roman"/>
          <w:sz w:val="28"/>
          <w:szCs w:val="28"/>
        </w:rPr>
        <w:t xml:space="preserve"> </w:t>
      </w:r>
      <w:proofErr w:type="gramStart"/>
      <w:r w:rsidRPr="005A3749">
        <w:rPr>
          <w:rFonts w:ascii="Times New Roman" w:hAnsi="Times New Roman" w:cs="Times New Roman"/>
          <w:sz w:val="28"/>
          <w:szCs w:val="28"/>
        </w:rPr>
        <w:t>г</w:t>
      </w:r>
      <w:proofErr w:type="gramEnd"/>
      <w:r w:rsidR="00F84AEF">
        <w:rPr>
          <w:rFonts w:ascii="Times New Roman" w:hAnsi="Times New Roman" w:cs="Times New Roman"/>
          <w:sz w:val="28"/>
          <w:szCs w:val="28"/>
        </w:rPr>
        <w:t>рн., роботи практично виконані.</w:t>
      </w:r>
      <w:r w:rsidRPr="005A3749">
        <w:rPr>
          <w:rFonts w:ascii="Times New Roman" w:hAnsi="Times New Roman" w:cs="Times New Roman"/>
          <w:sz w:val="28"/>
          <w:szCs w:val="28"/>
        </w:rPr>
        <w:t xml:space="preserve"> Проведені роботи по будівництву водогону по вул. Папаніна, Ді</w:t>
      </w:r>
      <w:proofErr w:type="gramStart"/>
      <w:r w:rsidRPr="005A3749">
        <w:rPr>
          <w:rFonts w:ascii="Times New Roman" w:hAnsi="Times New Roman" w:cs="Times New Roman"/>
          <w:sz w:val="28"/>
          <w:szCs w:val="28"/>
        </w:rPr>
        <w:t>м</w:t>
      </w:r>
      <w:proofErr w:type="gramEnd"/>
      <w:r w:rsidRPr="005A3749">
        <w:rPr>
          <w:rFonts w:ascii="Times New Roman" w:hAnsi="Times New Roman" w:cs="Times New Roman"/>
          <w:sz w:val="28"/>
          <w:szCs w:val="28"/>
        </w:rPr>
        <w:t xml:space="preserve">ітрова в смт. Недригайлів. На виконання цих заходів використано 1774,2 тис. грн. коштів із </w:t>
      </w:r>
      <w:proofErr w:type="gramStart"/>
      <w:r w:rsidRPr="005A3749">
        <w:rPr>
          <w:rFonts w:ascii="Times New Roman" w:hAnsi="Times New Roman" w:cs="Times New Roman"/>
          <w:sz w:val="28"/>
          <w:szCs w:val="28"/>
        </w:rPr>
        <w:t>р</w:t>
      </w:r>
      <w:proofErr w:type="gramEnd"/>
      <w:r w:rsidRPr="005A3749">
        <w:rPr>
          <w:rFonts w:ascii="Times New Roman" w:hAnsi="Times New Roman" w:cs="Times New Roman"/>
          <w:sz w:val="28"/>
          <w:szCs w:val="28"/>
        </w:rPr>
        <w:t>ізних джерел фінансування.</w:t>
      </w:r>
    </w:p>
    <w:p w:rsidR="00FD2BA2" w:rsidRDefault="005A3749" w:rsidP="00FD2BA2">
      <w:pPr>
        <w:tabs>
          <w:tab w:val="left" w:pos="3600"/>
        </w:tabs>
        <w:spacing w:after="0" w:line="240" w:lineRule="auto"/>
        <w:jc w:val="both"/>
        <w:rPr>
          <w:rFonts w:ascii="Times New Roman" w:hAnsi="Times New Roman" w:cs="Times New Roman"/>
          <w:sz w:val="28"/>
          <w:szCs w:val="28"/>
          <w:lang w:val="uk-UA"/>
        </w:rPr>
      </w:pPr>
      <w:r w:rsidRPr="005A3749">
        <w:rPr>
          <w:rFonts w:ascii="Times New Roman" w:hAnsi="Times New Roman" w:cs="Times New Roman"/>
          <w:sz w:val="28"/>
          <w:szCs w:val="28"/>
        </w:rPr>
        <w:t xml:space="preserve">.  </w:t>
      </w:r>
      <w:r w:rsidR="00F84AEF">
        <w:rPr>
          <w:rFonts w:ascii="Times New Roman" w:hAnsi="Times New Roman" w:cs="Times New Roman"/>
          <w:sz w:val="28"/>
          <w:szCs w:val="28"/>
          <w:lang w:val="uk-UA"/>
        </w:rPr>
        <w:t xml:space="preserve">     </w:t>
      </w:r>
      <w:proofErr w:type="gramStart"/>
      <w:r w:rsidRPr="005A3749">
        <w:rPr>
          <w:rFonts w:ascii="Times New Roman" w:hAnsi="Times New Roman" w:cs="Times New Roman"/>
          <w:sz w:val="28"/>
          <w:szCs w:val="28"/>
        </w:rPr>
        <w:t>З</w:t>
      </w:r>
      <w:proofErr w:type="gramEnd"/>
      <w:r w:rsidRPr="005A3749">
        <w:rPr>
          <w:rFonts w:ascii="Times New Roman" w:hAnsi="Times New Roman" w:cs="Times New Roman"/>
          <w:sz w:val="28"/>
          <w:szCs w:val="28"/>
        </w:rPr>
        <w:t xml:space="preserve"> метою придбання насосного і технологічного обладнання  для заміни такого, що використало свої технічні можливості на каналізаційних мережах смт. Недригайлів до управління житлово-комунального господарства обласної державної адміністрації направлений запит про виділення у 2013 році коштів з обласного фонду охорони навколишнього природного середовища Сумської області. Також був направлений лист до першого заступника голови обласної державної адміністрації В.І. Чернявського щодо сприяння у виділенні коштів </w:t>
      </w:r>
      <w:proofErr w:type="gramStart"/>
      <w:r w:rsidRPr="005A3749">
        <w:rPr>
          <w:rFonts w:ascii="Times New Roman" w:hAnsi="Times New Roman" w:cs="Times New Roman"/>
          <w:sz w:val="28"/>
          <w:szCs w:val="28"/>
        </w:rPr>
        <w:t>в</w:t>
      </w:r>
      <w:proofErr w:type="gramEnd"/>
      <w:r w:rsidRPr="005A3749">
        <w:rPr>
          <w:rFonts w:ascii="Times New Roman" w:hAnsi="Times New Roman" w:cs="Times New Roman"/>
          <w:sz w:val="28"/>
          <w:szCs w:val="28"/>
        </w:rPr>
        <w:t xml:space="preserve"> сумі 99,0 тис. гривень на проведення </w:t>
      </w:r>
      <w:proofErr w:type="gramStart"/>
      <w:r w:rsidRPr="005A3749">
        <w:rPr>
          <w:rFonts w:ascii="Times New Roman" w:hAnsi="Times New Roman" w:cs="Times New Roman"/>
          <w:sz w:val="28"/>
          <w:szCs w:val="28"/>
        </w:rPr>
        <w:t>поточного</w:t>
      </w:r>
      <w:proofErr w:type="gramEnd"/>
      <w:r w:rsidRPr="005A3749">
        <w:rPr>
          <w:rFonts w:ascii="Times New Roman" w:hAnsi="Times New Roman" w:cs="Times New Roman"/>
          <w:sz w:val="28"/>
          <w:szCs w:val="28"/>
        </w:rPr>
        <w:t xml:space="preserve"> ремонту водонапірної вежі в смт. Недригайлів, так як вказаний об’єкт був включений в перелік об’єктів 2012 року, фінансування яких повинно було здійснюватися за рахунок коштів цільового фонду розвитку інженерно-транспортної та </w:t>
      </w:r>
      <w:proofErr w:type="gramStart"/>
      <w:r w:rsidRPr="005A3749">
        <w:rPr>
          <w:rFonts w:ascii="Times New Roman" w:hAnsi="Times New Roman" w:cs="Times New Roman"/>
          <w:sz w:val="28"/>
          <w:szCs w:val="28"/>
        </w:rPr>
        <w:t>соц</w:t>
      </w:r>
      <w:proofErr w:type="gramEnd"/>
      <w:r w:rsidRPr="005A3749">
        <w:rPr>
          <w:rFonts w:ascii="Times New Roman" w:hAnsi="Times New Roman" w:cs="Times New Roman"/>
          <w:sz w:val="28"/>
          <w:szCs w:val="28"/>
        </w:rPr>
        <w:t>іальної інфраструктури області у складі спеціального фонду обласного бюджету, але на жаль фінансування не проводилося.</w:t>
      </w:r>
    </w:p>
    <w:p w:rsidR="005A3749" w:rsidRDefault="00FD2BA2" w:rsidP="00FD2BA2">
      <w:pPr>
        <w:tabs>
          <w:tab w:val="left" w:pos="3600"/>
        </w:tabs>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rPr>
        <w:t xml:space="preserve"> </w:t>
      </w:r>
      <w:r>
        <w:rPr>
          <w:rFonts w:ascii="Times New Roman" w:hAnsi="Times New Roman" w:cs="Times New Roman"/>
          <w:b/>
          <w:sz w:val="28"/>
          <w:szCs w:val="28"/>
          <w:lang w:val="uk-UA"/>
        </w:rPr>
        <w:t>В</w:t>
      </w:r>
      <w:r w:rsidR="005A3749" w:rsidRPr="005A3749">
        <w:rPr>
          <w:rFonts w:ascii="Times New Roman" w:hAnsi="Times New Roman" w:cs="Times New Roman"/>
          <w:b/>
          <w:sz w:val="28"/>
          <w:szCs w:val="28"/>
        </w:rPr>
        <w:t>иконання обласної програми «Сільська криниця» на 2008-2015 роки</w:t>
      </w:r>
      <w:r w:rsidR="00265540">
        <w:rPr>
          <w:rFonts w:ascii="Times New Roman" w:hAnsi="Times New Roman" w:cs="Times New Roman"/>
          <w:b/>
          <w:sz w:val="28"/>
          <w:szCs w:val="28"/>
          <w:lang w:val="uk-UA"/>
        </w:rPr>
        <w:t>.</w:t>
      </w:r>
    </w:p>
    <w:p w:rsidR="00265540" w:rsidRPr="005A3749" w:rsidRDefault="00265540" w:rsidP="00265540">
      <w:pPr>
        <w:pStyle w:val="21"/>
        <w:spacing w:after="0"/>
        <w:ind w:firstLine="0"/>
        <w:rPr>
          <w:szCs w:val="28"/>
        </w:rPr>
      </w:pPr>
      <w:r w:rsidRPr="005A3749">
        <w:rPr>
          <w:szCs w:val="28"/>
        </w:rPr>
        <w:t xml:space="preserve">      </w:t>
      </w:r>
      <w:r>
        <w:rPr>
          <w:szCs w:val="28"/>
        </w:rPr>
        <w:t xml:space="preserve">   </w:t>
      </w:r>
      <w:r w:rsidRPr="005A3749">
        <w:rPr>
          <w:szCs w:val="28"/>
        </w:rPr>
        <w:t xml:space="preserve">  У  2012 році  встановлення та ремонт надбудов проводилось за рахунок коштів сільських, селищних рад і залучених спонсорських коштів. Вказані роботи проводилися по 7 сільських і  селищних радах. Виконано робіт на суму близько 25,0 тис. грн., виконано ремонт надбудов та огорож  24 колодязів.</w:t>
      </w:r>
    </w:p>
    <w:p w:rsidR="005A3749" w:rsidRPr="005A3749" w:rsidRDefault="005A3749" w:rsidP="00265540">
      <w:pPr>
        <w:tabs>
          <w:tab w:val="left" w:pos="3600"/>
        </w:tabs>
        <w:spacing w:after="0" w:line="240" w:lineRule="auto"/>
        <w:jc w:val="both"/>
        <w:rPr>
          <w:rFonts w:ascii="Times New Roman" w:hAnsi="Times New Roman" w:cs="Times New Roman"/>
          <w:sz w:val="28"/>
          <w:szCs w:val="28"/>
        </w:rPr>
      </w:pPr>
      <w:r w:rsidRPr="005A3749">
        <w:rPr>
          <w:rFonts w:ascii="Times New Roman" w:hAnsi="Times New Roman" w:cs="Times New Roman"/>
          <w:sz w:val="28"/>
          <w:szCs w:val="28"/>
        </w:rPr>
        <w:t xml:space="preserve">            У 2013 році роботи по очищенню, ремонту надбудов, </w:t>
      </w:r>
      <w:proofErr w:type="gramStart"/>
      <w:r w:rsidRPr="005A3749">
        <w:rPr>
          <w:rFonts w:ascii="Times New Roman" w:hAnsi="Times New Roman" w:cs="Times New Roman"/>
          <w:sz w:val="28"/>
          <w:szCs w:val="28"/>
        </w:rPr>
        <w:t>благоустрою</w:t>
      </w:r>
      <w:proofErr w:type="gramEnd"/>
      <w:r w:rsidRPr="005A3749">
        <w:rPr>
          <w:rFonts w:ascii="Times New Roman" w:hAnsi="Times New Roman" w:cs="Times New Roman"/>
          <w:sz w:val="28"/>
          <w:szCs w:val="28"/>
        </w:rPr>
        <w:t xml:space="preserve"> проведені по 12 сільських і селищних радах: проведено очищення - 4, ремонт надбудов -12  та благоустрій 17 шахтних колодязів. Проведено фінансування в сумі 14 126 грн., в тому числі кошти сільських рад – 12 676 грн. та 1450 грн. – залучені кошти.</w:t>
      </w:r>
    </w:p>
    <w:p w:rsidR="005A3749" w:rsidRPr="005A3749" w:rsidRDefault="005A3749" w:rsidP="00265540">
      <w:pPr>
        <w:pStyle w:val="21"/>
        <w:spacing w:after="0"/>
        <w:ind w:firstLine="0"/>
        <w:rPr>
          <w:szCs w:val="28"/>
        </w:rPr>
      </w:pPr>
      <w:r w:rsidRPr="005A3749">
        <w:rPr>
          <w:szCs w:val="28"/>
        </w:rPr>
        <w:t xml:space="preserve">        Кошти з обласного бюджету на виконання заходів програми у 2012 та 2013 роках не надходили. </w:t>
      </w:r>
    </w:p>
    <w:p w:rsidR="009714FD" w:rsidRPr="009714FD" w:rsidRDefault="00DD49FD" w:rsidP="009714FD">
      <w:pPr>
        <w:tabs>
          <w:tab w:val="left" w:pos="3600"/>
        </w:tabs>
        <w:spacing w:line="240" w:lineRule="auto"/>
        <w:jc w:val="center"/>
        <w:rPr>
          <w:rFonts w:ascii="Times New Roman" w:hAnsi="Times New Roman" w:cs="Times New Roman"/>
          <w:sz w:val="28"/>
          <w:szCs w:val="28"/>
          <w:lang w:val="uk-UA"/>
        </w:rPr>
      </w:pPr>
      <w:r>
        <w:rPr>
          <w:rFonts w:ascii="Times New Roman" w:hAnsi="Times New Roman" w:cs="Times New Roman"/>
          <w:b/>
          <w:sz w:val="28"/>
          <w:szCs w:val="28"/>
        </w:rPr>
        <w:t xml:space="preserve"> </w:t>
      </w:r>
      <w:r>
        <w:rPr>
          <w:rFonts w:ascii="Times New Roman" w:hAnsi="Times New Roman" w:cs="Times New Roman"/>
          <w:b/>
          <w:sz w:val="28"/>
          <w:szCs w:val="28"/>
          <w:lang w:val="uk-UA"/>
        </w:rPr>
        <w:t>В</w:t>
      </w:r>
      <w:r w:rsidR="005A3749" w:rsidRPr="009714FD">
        <w:rPr>
          <w:rFonts w:ascii="Times New Roman" w:hAnsi="Times New Roman" w:cs="Times New Roman"/>
          <w:b/>
          <w:sz w:val="28"/>
          <w:szCs w:val="28"/>
        </w:rPr>
        <w:t>иконання обласної програми реформування і розвитку житлово-комунального господарства на 2011-2014 роки.</w:t>
      </w:r>
    </w:p>
    <w:p w:rsidR="009714FD" w:rsidRPr="008E1913" w:rsidRDefault="00524760" w:rsidP="00524760">
      <w:pPr>
        <w:tabs>
          <w:tab w:val="left" w:pos="360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14FD" w:rsidRPr="005A3749">
        <w:rPr>
          <w:rFonts w:ascii="Times New Roman" w:hAnsi="Times New Roman" w:cs="Times New Roman"/>
          <w:sz w:val="28"/>
          <w:szCs w:val="28"/>
        </w:rPr>
        <w:t xml:space="preserve"> У 2012 році на виконання заходів програми реформування і розвитку житлово-комунального господарства на 2011-2014 роки, а саме: на розвиток централізованих систем водопостачання використано 1043,134 тис</w:t>
      </w:r>
      <w:proofErr w:type="gramStart"/>
      <w:r w:rsidR="009714FD" w:rsidRPr="005A3749">
        <w:rPr>
          <w:rFonts w:ascii="Times New Roman" w:hAnsi="Times New Roman" w:cs="Times New Roman"/>
          <w:sz w:val="28"/>
          <w:szCs w:val="28"/>
        </w:rPr>
        <w:t>.</w:t>
      </w:r>
      <w:proofErr w:type="gramEnd"/>
      <w:r w:rsidR="009714FD" w:rsidRPr="005A3749">
        <w:rPr>
          <w:rFonts w:ascii="Times New Roman" w:hAnsi="Times New Roman" w:cs="Times New Roman"/>
          <w:sz w:val="28"/>
          <w:szCs w:val="28"/>
        </w:rPr>
        <w:t xml:space="preserve"> </w:t>
      </w:r>
      <w:proofErr w:type="gramStart"/>
      <w:r w:rsidR="009714FD" w:rsidRPr="005A3749">
        <w:rPr>
          <w:rFonts w:ascii="Times New Roman" w:hAnsi="Times New Roman" w:cs="Times New Roman"/>
          <w:sz w:val="28"/>
          <w:szCs w:val="28"/>
        </w:rPr>
        <w:t>г</w:t>
      </w:r>
      <w:proofErr w:type="gramEnd"/>
      <w:r w:rsidR="009714FD" w:rsidRPr="005A3749">
        <w:rPr>
          <w:rFonts w:ascii="Times New Roman" w:hAnsi="Times New Roman" w:cs="Times New Roman"/>
          <w:sz w:val="28"/>
          <w:szCs w:val="28"/>
        </w:rPr>
        <w:t>рн., із них 792,134 тис. грн. залучені кошти. На заходи з енергозбереже</w:t>
      </w:r>
      <w:r>
        <w:rPr>
          <w:rFonts w:ascii="Times New Roman" w:hAnsi="Times New Roman" w:cs="Times New Roman"/>
          <w:sz w:val="28"/>
          <w:szCs w:val="28"/>
        </w:rPr>
        <w:t xml:space="preserve">ння використано </w:t>
      </w:r>
      <w:r w:rsidR="008E1913">
        <w:rPr>
          <w:rFonts w:ascii="Times New Roman" w:hAnsi="Times New Roman" w:cs="Times New Roman"/>
          <w:sz w:val="28"/>
          <w:szCs w:val="28"/>
        </w:rPr>
        <w:t xml:space="preserve"> 526, 25 тис</w:t>
      </w:r>
      <w:proofErr w:type="gramStart"/>
      <w:r w:rsidR="008E1913">
        <w:rPr>
          <w:rFonts w:ascii="Times New Roman" w:hAnsi="Times New Roman" w:cs="Times New Roman"/>
          <w:sz w:val="28"/>
          <w:szCs w:val="28"/>
        </w:rPr>
        <w:t>.</w:t>
      </w:r>
      <w:proofErr w:type="gramEnd"/>
      <w:r w:rsidR="008E1913">
        <w:rPr>
          <w:rFonts w:ascii="Times New Roman" w:hAnsi="Times New Roman" w:cs="Times New Roman"/>
          <w:sz w:val="28"/>
          <w:szCs w:val="28"/>
        </w:rPr>
        <w:t xml:space="preserve"> </w:t>
      </w:r>
      <w:proofErr w:type="gramStart"/>
      <w:r w:rsidR="008E1913">
        <w:rPr>
          <w:rFonts w:ascii="Times New Roman" w:hAnsi="Times New Roman" w:cs="Times New Roman"/>
          <w:sz w:val="28"/>
          <w:szCs w:val="28"/>
        </w:rPr>
        <w:t>г</w:t>
      </w:r>
      <w:proofErr w:type="gramEnd"/>
      <w:r w:rsidR="008E1913">
        <w:rPr>
          <w:rFonts w:ascii="Times New Roman" w:hAnsi="Times New Roman" w:cs="Times New Roman"/>
          <w:sz w:val="28"/>
          <w:szCs w:val="28"/>
        </w:rPr>
        <w:t xml:space="preserve">рн. </w:t>
      </w:r>
      <w:r w:rsidR="008E1913">
        <w:rPr>
          <w:rFonts w:ascii="Times New Roman" w:hAnsi="Times New Roman" w:cs="Times New Roman"/>
          <w:sz w:val="28"/>
          <w:szCs w:val="28"/>
          <w:lang w:val="uk-UA"/>
        </w:rPr>
        <w:t>В</w:t>
      </w:r>
      <w:r w:rsidR="009714FD" w:rsidRPr="005A3749">
        <w:rPr>
          <w:rFonts w:ascii="Times New Roman" w:hAnsi="Times New Roman" w:cs="Times New Roman"/>
          <w:sz w:val="28"/>
          <w:szCs w:val="28"/>
        </w:rPr>
        <w:t>иконані наступні роботи: встановлено  додатковий сучасний газовий котел в котельні Н</w:t>
      </w:r>
      <w:r>
        <w:rPr>
          <w:rFonts w:ascii="Times New Roman" w:hAnsi="Times New Roman" w:cs="Times New Roman"/>
          <w:sz w:val="28"/>
          <w:szCs w:val="28"/>
        </w:rPr>
        <w:t>едригайлівської СЗОШ.І-ІІІ ст,</w:t>
      </w:r>
      <w:r>
        <w:rPr>
          <w:rFonts w:ascii="Times New Roman" w:hAnsi="Times New Roman" w:cs="Times New Roman"/>
          <w:sz w:val="28"/>
          <w:szCs w:val="28"/>
          <w:lang w:val="uk-UA"/>
        </w:rPr>
        <w:t xml:space="preserve"> </w:t>
      </w:r>
      <w:r>
        <w:rPr>
          <w:rFonts w:ascii="Times New Roman" w:hAnsi="Times New Roman" w:cs="Times New Roman"/>
          <w:sz w:val="28"/>
          <w:szCs w:val="28"/>
        </w:rPr>
        <w:t>вартість 299,0</w:t>
      </w:r>
      <w:r>
        <w:rPr>
          <w:rFonts w:ascii="Times New Roman" w:hAnsi="Times New Roman" w:cs="Times New Roman"/>
          <w:sz w:val="28"/>
          <w:szCs w:val="28"/>
          <w:lang w:val="uk-UA"/>
        </w:rPr>
        <w:t xml:space="preserve"> </w:t>
      </w:r>
      <w:r>
        <w:rPr>
          <w:rFonts w:ascii="Times New Roman" w:hAnsi="Times New Roman" w:cs="Times New Roman"/>
          <w:sz w:val="28"/>
          <w:szCs w:val="28"/>
        </w:rPr>
        <w:t>тис.</w:t>
      </w:r>
      <w:r w:rsidR="009714FD" w:rsidRPr="005A3749">
        <w:rPr>
          <w:rFonts w:ascii="Times New Roman" w:hAnsi="Times New Roman" w:cs="Times New Roman"/>
          <w:sz w:val="28"/>
          <w:szCs w:val="28"/>
        </w:rPr>
        <w:t>грн.,</w:t>
      </w:r>
      <w:r w:rsidR="008E1913">
        <w:rPr>
          <w:rFonts w:ascii="Times New Roman" w:hAnsi="Times New Roman" w:cs="Times New Roman"/>
          <w:sz w:val="28"/>
          <w:szCs w:val="28"/>
          <w:lang w:val="uk-UA"/>
        </w:rPr>
        <w:t xml:space="preserve"> та</w:t>
      </w:r>
      <w:r w:rsidR="009714FD" w:rsidRPr="005A3749">
        <w:rPr>
          <w:rFonts w:ascii="Times New Roman" w:hAnsi="Times New Roman" w:cs="Times New Roman"/>
          <w:sz w:val="28"/>
          <w:szCs w:val="28"/>
        </w:rPr>
        <w:t xml:space="preserve"> </w:t>
      </w:r>
      <w:r w:rsidR="008E1913" w:rsidRPr="005A3749">
        <w:rPr>
          <w:rFonts w:ascii="Times New Roman" w:hAnsi="Times New Roman" w:cs="Times New Roman"/>
          <w:sz w:val="28"/>
          <w:szCs w:val="28"/>
        </w:rPr>
        <w:t xml:space="preserve">Тернівському ДНЗ, вартість 15,2 тис. грн. </w:t>
      </w:r>
      <w:r w:rsidR="008E1913">
        <w:rPr>
          <w:rFonts w:ascii="Times New Roman" w:hAnsi="Times New Roman" w:cs="Times New Roman"/>
          <w:sz w:val="28"/>
          <w:szCs w:val="28"/>
          <w:lang w:val="uk-UA"/>
        </w:rPr>
        <w:t>В</w:t>
      </w:r>
      <w:r w:rsidR="008E1913">
        <w:rPr>
          <w:rFonts w:ascii="Times New Roman" w:hAnsi="Times New Roman" w:cs="Times New Roman"/>
          <w:sz w:val="28"/>
          <w:szCs w:val="28"/>
        </w:rPr>
        <w:t>становлен</w:t>
      </w:r>
      <w:r w:rsidR="008E1913">
        <w:rPr>
          <w:rFonts w:ascii="Times New Roman" w:hAnsi="Times New Roman" w:cs="Times New Roman"/>
          <w:sz w:val="28"/>
          <w:szCs w:val="28"/>
          <w:lang w:val="uk-UA"/>
        </w:rPr>
        <w:t>і</w:t>
      </w:r>
      <w:r w:rsidR="008E1913">
        <w:rPr>
          <w:rFonts w:ascii="Times New Roman" w:hAnsi="Times New Roman" w:cs="Times New Roman"/>
          <w:sz w:val="28"/>
          <w:szCs w:val="28"/>
        </w:rPr>
        <w:t xml:space="preserve"> сучасн</w:t>
      </w:r>
      <w:r w:rsidR="008E1913">
        <w:rPr>
          <w:rFonts w:ascii="Times New Roman" w:hAnsi="Times New Roman" w:cs="Times New Roman"/>
          <w:sz w:val="28"/>
          <w:szCs w:val="28"/>
          <w:lang w:val="uk-UA"/>
        </w:rPr>
        <w:t>і</w:t>
      </w:r>
      <w:r w:rsidR="008E1913">
        <w:rPr>
          <w:rFonts w:ascii="Times New Roman" w:hAnsi="Times New Roman" w:cs="Times New Roman"/>
          <w:sz w:val="28"/>
          <w:szCs w:val="28"/>
        </w:rPr>
        <w:t xml:space="preserve"> твердопаливн</w:t>
      </w:r>
      <w:r w:rsidR="008E1913">
        <w:rPr>
          <w:rFonts w:ascii="Times New Roman" w:hAnsi="Times New Roman" w:cs="Times New Roman"/>
          <w:sz w:val="28"/>
          <w:szCs w:val="28"/>
          <w:lang w:val="uk-UA"/>
        </w:rPr>
        <w:t>і</w:t>
      </w:r>
      <w:r w:rsidR="008E1913">
        <w:rPr>
          <w:rFonts w:ascii="Times New Roman" w:hAnsi="Times New Roman" w:cs="Times New Roman"/>
          <w:sz w:val="28"/>
          <w:szCs w:val="28"/>
        </w:rPr>
        <w:t xml:space="preserve"> кот</w:t>
      </w:r>
      <w:r w:rsidR="009714FD" w:rsidRPr="005A3749">
        <w:rPr>
          <w:rFonts w:ascii="Times New Roman" w:hAnsi="Times New Roman" w:cs="Times New Roman"/>
          <w:sz w:val="28"/>
          <w:szCs w:val="28"/>
        </w:rPr>
        <w:t>л</w:t>
      </w:r>
      <w:r w:rsidR="008E1913">
        <w:rPr>
          <w:rFonts w:ascii="Times New Roman" w:hAnsi="Times New Roman" w:cs="Times New Roman"/>
          <w:sz w:val="28"/>
          <w:szCs w:val="28"/>
          <w:lang w:val="uk-UA"/>
        </w:rPr>
        <w:t>и:</w:t>
      </w:r>
      <w:r w:rsidR="009714FD" w:rsidRPr="005A3749">
        <w:rPr>
          <w:rFonts w:ascii="Times New Roman" w:hAnsi="Times New Roman" w:cs="Times New Roman"/>
          <w:sz w:val="28"/>
          <w:szCs w:val="28"/>
        </w:rPr>
        <w:t xml:space="preserve"> в Коровинському дитячому с</w:t>
      </w:r>
      <w:r w:rsidR="008E1913">
        <w:rPr>
          <w:rFonts w:ascii="Times New Roman" w:hAnsi="Times New Roman" w:cs="Times New Roman"/>
          <w:sz w:val="28"/>
          <w:szCs w:val="28"/>
        </w:rPr>
        <w:t>адку, вартість 47,8 тис. грн.</w:t>
      </w:r>
      <w:r w:rsidR="008E1913">
        <w:rPr>
          <w:rFonts w:ascii="Times New Roman" w:hAnsi="Times New Roman" w:cs="Times New Roman"/>
          <w:sz w:val="28"/>
          <w:szCs w:val="28"/>
          <w:lang w:val="uk-UA"/>
        </w:rPr>
        <w:t>,</w:t>
      </w:r>
      <w:r w:rsidR="009714FD" w:rsidRPr="005A3749">
        <w:rPr>
          <w:rFonts w:ascii="Times New Roman" w:hAnsi="Times New Roman" w:cs="Times New Roman"/>
          <w:sz w:val="28"/>
          <w:szCs w:val="28"/>
        </w:rPr>
        <w:t xml:space="preserve"> </w:t>
      </w:r>
      <w:r w:rsidR="008E1913">
        <w:rPr>
          <w:rFonts w:ascii="Times New Roman" w:hAnsi="Times New Roman" w:cs="Times New Roman"/>
          <w:sz w:val="28"/>
          <w:szCs w:val="28"/>
        </w:rPr>
        <w:t xml:space="preserve">у В.Будківській ЗОШ І-ІІІ </w:t>
      </w:r>
      <w:proofErr w:type="gramStart"/>
      <w:r w:rsidR="008E1913">
        <w:rPr>
          <w:rFonts w:ascii="Times New Roman" w:hAnsi="Times New Roman" w:cs="Times New Roman"/>
          <w:sz w:val="28"/>
          <w:szCs w:val="28"/>
        </w:rPr>
        <w:t>ст</w:t>
      </w:r>
      <w:proofErr w:type="gramEnd"/>
      <w:r w:rsidR="008E1913">
        <w:rPr>
          <w:rFonts w:ascii="Times New Roman" w:hAnsi="Times New Roman" w:cs="Times New Roman"/>
          <w:sz w:val="28"/>
          <w:szCs w:val="28"/>
          <w:lang w:val="uk-UA"/>
        </w:rPr>
        <w:t xml:space="preserve"> та</w:t>
      </w:r>
      <w:r w:rsidR="008E1913" w:rsidRPr="008E1913">
        <w:rPr>
          <w:rFonts w:ascii="Times New Roman" w:hAnsi="Times New Roman" w:cs="Times New Roman"/>
          <w:sz w:val="28"/>
          <w:szCs w:val="28"/>
        </w:rPr>
        <w:t xml:space="preserve"> </w:t>
      </w:r>
      <w:r w:rsidR="008E1913" w:rsidRPr="005A3749">
        <w:rPr>
          <w:rFonts w:ascii="Times New Roman" w:hAnsi="Times New Roman" w:cs="Times New Roman"/>
          <w:sz w:val="28"/>
          <w:szCs w:val="28"/>
        </w:rPr>
        <w:t xml:space="preserve">в 11 клубних закладах </w:t>
      </w:r>
      <w:r w:rsidR="008E1913" w:rsidRPr="005A3749">
        <w:rPr>
          <w:rFonts w:ascii="Times New Roman" w:hAnsi="Times New Roman" w:cs="Times New Roman"/>
          <w:sz w:val="28"/>
          <w:szCs w:val="28"/>
        </w:rPr>
        <w:lastRenderedPageBreak/>
        <w:t>району</w:t>
      </w:r>
      <w:r w:rsidR="008E1913">
        <w:rPr>
          <w:rFonts w:ascii="Times New Roman" w:hAnsi="Times New Roman" w:cs="Times New Roman"/>
          <w:sz w:val="28"/>
          <w:szCs w:val="28"/>
        </w:rPr>
        <w:t xml:space="preserve">. </w:t>
      </w:r>
      <w:r w:rsidR="008E1913">
        <w:rPr>
          <w:rFonts w:ascii="Times New Roman" w:hAnsi="Times New Roman" w:cs="Times New Roman"/>
          <w:sz w:val="28"/>
          <w:szCs w:val="28"/>
          <w:lang w:val="uk-UA"/>
        </w:rPr>
        <w:t>П</w:t>
      </w:r>
      <w:r w:rsidR="009714FD" w:rsidRPr="005A3749">
        <w:rPr>
          <w:rFonts w:ascii="Times New Roman" w:hAnsi="Times New Roman" w:cs="Times New Roman"/>
          <w:sz w:val="28"/>
          <w:szCs w:val="28"/>
        </w:rPr>
        <w:t>роведено заміну енергоємного насосного обладнання у</w:t>
      </w:r>
      <w:r w:rsidR="008E1913">
        <w:rPr>
          <w:rFonts w:ascii="Times New Roman" w:hAnsi="Times New Roman" w:cs="Times New Roman"/>
          <w:sz w:val="28"/>
          <w:szCs w:val="28"/>
        </w:rPr>
        <w:t xml:space="preserve"> Недригайлівській</w:t>
      </w:r>
      <w:r w:rsidR="009714FD" w:rsidRPr="005A3749">
        <w:rPr>
          <w:rFonts w:ascii="Times New Roman" w:hAnsi="Times New Roman" w:cs="Times New Roman"/>
          <w:sz w:val="28"/>
          <w:szCs w:val="28"/>
        </w:rPr>
        <w:t>, Вільшан</w:t>
      </w:r>
      <w:r w:rsidR="008E1913">
        <w:rPr>
          <w:rFonts w:ascii="Times New Roman" w:hAnsi="Times New Roman" w:cs="Times New Roman"/>
          <w:sz w:val="28"/>
          <w:szCs w:val="28"/>
        </w:rPr>
        <w:t xml:space="preserve">ській та В.Будківських школах. </w:t>
      </w:r>
      <w:r w:rsidR="009714FD" w:rsidRPr="005A3749">
        <w:rPr>
          <w:rFonts w:ascii="Times New Roman" w:hAnsi="Times New Roman" w:cs="Times New Roman"/>
          <w:sz w:val="28"/>
          <w:szCs w:val="28"/>
        </w:rPr>
        <w:t xml:space="preserve"> Проведена заміна 10 вікон на склопакети та двох дверей </w:t>
      </w:r>
      <w:proofErr w:type="gramStart"/>
      <w:r w:rsidR="009714FD" w:rsidRPr="005A3749">
        <w:rPr>
          <w:rFonts w:ascii="Times New Roman" w:hAnsi="Times New Roman" w:cs="Times New Roman"/>
          <w:sz w:val="28"/>
          <w:szCs w:val="28"/>
        </w:rPr>
        <w:t>у</w:t>
      </w:r>
      <w:proofErr w:type="gramEnd"/>
      <w:r w:rsidR="009714FD" w:rsidRPr="005A3749">
        <w:rPr>
          <w:rFonts w:ascii="Times New Roman" w:hAnsi="Times New Roman" w:cs="Times New Roman"/>
          <w:sz w:val="28"/>
          <w:szCs w:val="28"/>
        </w:rPr>
        <w:t xml:space="preserve"> Вільшанському дитячому садку на суму 69,9 тис. грн..  За залучені кошти в сумі 10,115 грн. проведена заміна 8 вікон на склопакети у Рубанському сільському будинку культури. Встановлені склопакети у Ч.Слобідському</w:t>
      </w:r>
      <w:r w:rsidR="008E1913">
        <w:rPr>
          <w:rFonts w:ascii="Times New Roman" w:hAnsi="Times New Roman" w:cs="Times New Roman"/>
          <w:sz w:val="28"/>
          <w:szCs w:val="28"/>
          <w:lang w:val="uk-UA"/>
        </w:rPr>
        <w:t xml:space="preserve"> та </w:t>
      </w:r>
      <w:r w:rsidR="008E1913" w:rsidRPr="005A3749">
        <w:rPr>
          <w:rFonts w:ascii="Times New Roman" w:hAnsi="Times New Roman" w:cs="Times New Roman"/>
          <w:sz w:val="28"/>
          <w:szCs w:val="28"/>
        </w:rPr>
        <w:t>Вільшанськом</w:t>
      </w:r>
      <w:r w:rsidR="008E1913">
        <w:rPr>
          <w:rFonts w:ascii="Times New Roman" w:hAnsi="Times New Roman" w:cs="Times New Roman"/>
          <w:sz w:val="28"/>
          <w:szCs w:val="28"/>
        </w:rPr>
        <w:t xml:space="preserve"> сільськ</w:t>
      </w:r>
      <w:r w:rsidR="008E1913">
        <w:rPr>
          <w:rFonts w:ascii="Times New Roman" w:hAnsi="Times New Roman" w:cs="Times New Roman"/>
          <w:sz w:val="28"/>
          <w:szCs w:val="28"/>
          <w:lang w:val="uk-UA"/>
        </w:rPr>
        <w:t>их</w:t>
      </w:r>
      <w:r w:rsidR="008E1913">
        <w:rPr>
          <w:rFonts w:ascii="Times New Roman" w:hAnsi="Times New Roman" w:cs="Times New Roman"/>
          <w:sz w:val="28"/>
          <w:szCs w:val="28"/>
        </w:rPr>
        <w:t xml:space="preserve"> клуб</w:t>
      </w:r>
      <w:r w:rsidR="008E1913">
        <w:rPr>
          <w:rFonts w:ascii="Times New Roman" w:hAnsi="Times New Roman" w:cs="Times New Roman"/>
          <w:sz w:val="28"/>
          <w:szCs w:val="28"/>
          <w:lang w:val="uk-UA"/>
        </w:rPr>
        <w:t>ах.</w:t>
      </w:r>
    </w:p>
    <w:p w:rsidR="009714FD" w:rsidRPr="005A3749" w:rsidRDefault="009714FD" w:rsidP="00524760">
      <w:pPr>
        <w:spacing w:after="0" w:line="240" w:lineRule="auto"/>
        <w:jc w:val="both"/>
        <w:rPr>
          <w:rFonts w:ascii="Times New Roman" w:hAnsi="Times New Roman" w:cs="Times New Roman"/>
          <w:sz w:val="28"/>
          <w:szCs w:val="28"/>
        </w:rPr>
      </w:pPr>
      <w:r w:rsidRPr="005A3749">
        <w:rPr>
          <w:rFonts w:ascii="Times New Roman" w:hAnsi="Times New Roman" w:cs="Times New Roman"/>
          <w:sz w:val="28"/>
          <w:szCs w:val="28"/>
        </w:rPr>
        <w:t xml:space="preserve">        У 2012 році на модернізацію мережі зовнішнього освітлення використано 139,663 тис</w:t>
      </w:r>
      <w:proofErr w:type="gramStart"/>
      <w:r w:rsidRPr="005A3749">
        <w:rPr>
          <w:rFonts w:ascii="Times New Roman" w:hAnsi="Times New Roman" w:cs="Times New Roman"/>
          <w:sz w:val="28"/>
          <w:szCs w:val="28"/>
        </w:rPr>
        <w:t>.</w:t>
      </w:r>
      <w:proofErr w:type="gramEnd"/>
      <w:r w:rsidRPr="005A3749">
        <w:rPr>
          <w:rFonts w:ascii="Times New Roman" w:hAnsi="Times New Roman" w:cs="Times New Roman"/>
          <w:sz w:val="28"/>
          <w:szCs w:val="28"/>
        </w:rPr>
        <w:t xml:space="preserve"> </w:t>
      </w:r>
      <w:proofErr w:type="gramStart"/>
      <w:r w:rsidRPr="005A3749">
        <w:rPr>
          <w:rFonts w:ascii="Times New Roman" w:hAnsi="Times New Roman" w:cs="Times New Roman"/>
          <w:sz w:val="28"/>
          <w:szCs w:val="28"/>
        </w:rPr>
        <w:t>г</w:t>
      </w:r>
      <w:proofErr w:type="gramEnd"/>
      <w:r w:rsidRPr="005A3749">
        <w:rPr>
          <w:rFonts w:ascii="Times New Roman" w:hAnsi="Times New Roman" w:cs="Times New Roman"/>
          <w:sz w:val="28"/>
          <w:szCs w:val="28"/>
        </w:rPr>
        <w:t xml:space="preserve">рн.  Відновлено 6,04 км мереж, встановлено 7 лічильників та 340 </w:t>
      </w:r>
      <w:proofErr w:type="gramStart"/>
      <w:r w:rsidRPr="005A3749">
        <w:rPr>
          <w:rFonts w:ascii="Times New Roman" w:hAnsi="Times New Roman" w:cs="Times New Roman"/>
          <w:sz w:val="28"/>
          <w:szCs w:val="28"/>
        </w:rPr>
        <w:t>св</w:t>
      </w:r>
      <w:proofErr w:type="gramEnd"/>
      <w:r w:rsidRPr="005A3749">
        <w:rPr>
          <w:rFonts w:ascii="Times New Roman" w:hAnsi="Times New Roman" w:cs="Times New Roman"/>
          <w:sz w:val="28"/>
          <w:szCs w:val="28"/>
        </w:rPr>
        <w:t>ітильників та ламп.</w:t>
      </w:r>
    </w:p>
    <w:p w:rsidR="00712F05" w:rsidRDefault="005A3749" w:rsidP="00524760">
      <w:pPr>
        <w:spacing w:after="0" w:line="240" w:lineRule="auto"/>
        <w:jc w:val="both"/>
        <w:rPr>
          <w:rFonts w:ascii="Times New Roman" w:hAnsi="Times New Roman" w:cs="Times New Roman"/>
          <w:sz w:val="28"/>
          <w:szCs w:val="28"/>
          <w:lang w:val="uk-UA"/>
        </w:rPr>
      </w:pPr>
      <w:r w:rsidRPr="005A3749">
        <w:rPr>
          <w:rFonts w:ascii="Times New Roman" w:hAnsi="Times New Roman" w:cs="Times New Roman"/>
          <w:b/>
          <w:sz w:val="28"/>
          <w:szCs w:val="28"/>
        </w:rPr>
        <w:t xml:space="preserve">         </w:t>
      </w:r>
      <w:r w:rsidRPr="005A3749">
        <w:rPr>
          <w:rFonts w:ascii="Times New Roman" w:hAnsi="Times New Roman" w:cs="Times New Roman"/>
          <w:sz w:val="28"/>
          <w:szCs w:val="28"/>
        </w:rPr>
        <w:t>У 2013 році на виконання заходів п</w:t>
      </w:r>
      <w:r w:rsidR="00524760">
        <w:rPr>
          <w:rFonts w:ascii="Times New Roman" w:hAnsi="Times New Roman" w:cs="Times New Roman"/>
          <w:sz w:val="28"/>
          <w:szCs w:val="28"/>
        </w:rPr>
        <w:t>рограми</w:t>
      </w:r>
      <w:r w:rsidRPr="005A3749">
        <w:rPr>
          <w:rFonts w:ascii="Times New Roman" w:hAnsi="Times New Roman" w:cs="Times New Roman"/>
          <w:sz w:val="28"/>
          <w:szCs w:val="28"/>
        </w:rPr>
        <w:t>: на розвиток централізованих систем водопостачання використано 1 774,2 тис</w:t>
      </w:r>
      <w:proofErr w:type="gramStart"/>
      <w:r w:rsidRPr="005A3749">
        <w:rPr>
          <w:rFonts w:ascii="Times New Roman" w:hAnsi="Times New Roman" w:cs="Times New Roman"/>
          <w:sz w:val="28"/>
          <w:szCs w:val="28"/>
        </w:rPr>
        <w:t>.</w:t>
      </w:r>
      <w:proofErr w:type="gramEnd"/>
      <w:r w:rsidRPr="005A3749">
        <w:rPr>
          <w:rFonts w:ascii="Times New Roman" w:hAnsi="Times New Roman" w:cs="Times New Roman"/>
          <w:sz w:val="28"/>
          <w:szCs w:val="28"/>
        </w:rPr>
        <w:t xml:space="preserve"> </w:t>
      </w:r>
      <w:proofErr w:type="gramStart"/>
      <w:r w:rsidRPr="005A3749">
        <w:rPr>
          <w:rFonts w:ascii="Times New Roman" w:hAnsi="Times New Roman" w:cs="Times New Roman"/>
          <w:sz w:val="28"/>
          <w:szCs w:val="28"/>
        </w:rPr>
        <w:t>г</w:t>
      </w:r>
      <w:proofErr w:type="gramEnd"/>
      <w:r w:rsidRPr="005A3749">
        <w:rPr>
          <w:rFonts w:ascii="Times New Roman" w:hAnsi="Times New Roman" w:cs="Times New Roman"/>
          <w:sz w:val="28"/>
          <w:szCs w:val="28"/>
        </w:rPr>
        <w:t>ривень,  із них 1702,2 тис. гривень залучених коштів; на енергозбереження 196,9 тис</w:t>
      </w:r>
      <w:proofErr w:type="gramStart"/>
      <w:r w:rsidRPr="005A3749">
        <w:rPr>
          <w:rFonts w:ascii="Times New Roman" w:hAnsi="Times New Roman" w:cs="Times New Roman"/>
          <w:sz w:val="28"/>
          <w:szCs w:val="28"/>
        </w:rPr>
        <w:t>.</w:t>
      </w:r>
      <w:proofErr w:type="gramEnd"/>
      <w:r w:rsidRPr="005A3749">
        <w:rPr>
          <w:rFonts w:ascii="Times New Roman" w:hAnsi="Times New Roman" w:cs="Times New Roman"/>
          <w:sz w:val="28"/>
          <w:szCs w:val="28"/>
        </w:rPr>
        <w:t xml:space="preserve"> </w:t>
      </w:r>
      <w:proofErr w:type="gramStart"/>
      <w:r w:rsidRPr="005A3749">
        <w:rPr>
          <w:rFonts w:ascii="Times New Roman" w:hAnsi="Times New Roman" w:cs="Times New Roman"/>
          <w:sz w:val="28"/>
          <w:szCs w:val="28"/>
        </w:rPr>
        <w:t>г</w:t>
      </w:r>
      <w:proofErr w:type="gramEnd"/>
      <w:r w:rsidRPr="005A3749">
        <w:rPr>
          <w:rFonts w:ascii="Times New Roman" w:hAnsi="Times New Roman" w:cs="Times New Roman"/>
          <w:sz w:val="28"/>
          <w:szCs w:val="28"/>
        </w:rPr>
        <w:t>рн. місцевого бюджету, а також за кошти «зелених» інвестицій були завершені роботи по утепленню фасаді</w:t>
      </w:r>
      <w:r w:rsidR="00883E85">
        <w:rPr>
          <w:rFonts w:ascii="Times New Roman" w:hAnsi="Times New Roman" w:cs="Times New Roman"/>
          <w:sz w:val="28"/>
          <w:szCs w:val="28"/>
        </w:rPr>
        <w:t>в, дахів та заміні вікон по дво</w:t>
      </w:r>
      <w:r w:rsidR="009714FD">
        <w:rPr>
          <w:rFonts w:ascii="Times New Roman" w:hAnsi="Times New Roman" w:cs="Times New Roman"/>
          <w:sz w:val="28"/>
          <w:szCs w:val="28"/>
          <w:lang w:val="uk-UA"/>
        </w:rPr>
        <w:t xml:space="preserve">х </w:t>
      </w:r>
      <w:r w:rsidR="009714FD">
        <w:rPr>
          <w:rFonts w:ascii="Times New Roman" w:hAnsi="Times New Roman" w:cs="Times New Roman"/>
          <w:sz w:val="28"/>
          <w:szCs w:val="28"/>
        </w:rPr>
        <w:t>дитячи</w:t>
      </w:r>
      <w:r w:rsidR="009714FD">
        <w:rPr>
          <w:rFonts w:ascii="Times New Roman" w:hAnsi="Times New Roman" w:cs="Times New Roman"/>
          <w:sz w:val="28"/>
          <w:szCs w:val="28"/>
          <w:lang w:val="uk-UA"/>
        </w:rPr>
        <w:t>х</w:t>
      </w:r>
      <w:r w:rsidRPr="005A3749">
        <w:rPr>
          <w:rFonts w:ascii="Times New Roman" w:hAnsi="Times New Roman" w:cs="Times New Roman"/>
          <w:sz w:val="28"/>
          <w:szCs w:val="28"/>
        </w:rPr>
        <w:t xml:space="preserve"> садках в смт. </w:t>
      </w:r>
      <w:r w:rsidR="00883E85">
        <w:rPr>
          <w:rFonts w:ascii="Times New Roman" w:hAnsi="Times New Roman" w:cs="Times New Roman"/>
          <w:sz w:val="28"/>
          <w:szCs w:val="28"/>
        </w:rPr>
        <w:t>Недригайлів і Терни.</w:t>
      </w:r>
    </w:p>
    <w:p w:rsidR="00712F05" w:rsidRDefault="00712F05" w:rsidP="0052476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83E85" w:rsidRPr="00712F05">
        <w:rPr>
          <w:rFonts w:ascii="Times New Roman" w:hAnsi="Times New Roman" w:cs="Times New Roman"/>
          <w:sz w:val="28"/>
          <w:szCs w:val="28"/>
          <w:lang w:val="uk-UA"/>
        </w:rPr>
        <w:t xml:space="preserve"> Встановлен</w:t>
      </w:r>
      <w:r w:rsidR="00883E85">
        <w:rPr>
          <w:rFonts w:ascii="Times New Roman" w:hAnsi="Times New Roman" w:cs="Times New Roman"/>
          <w:sz w:val="28"/>
          <w:szCs w:val="28"/>
          <w:lang w:val="uk-UA"/>
        </w:rPr>
        <w:t>і</w:t>
      </w:r>
      <w:r w:rsidR="00883E85" w:rsidRPr="00712F05">
        <w:rPr>
          <w:rFonts w:ascii="Times New Roman" w:hAnsi="Times New Roman" w:cs="Times New Roman"/>
          <w:sz w:val="28"/>
          <w:szCs w:val="28"/>
          <w:lang w:val="uk-UA"/>
        </w:rPr>
        <w:t xml:space="preserve"> твердопаливн</w:t>
      </w:r>
      <w:r w:rsidR="00883E85">
        <w:rPr>
          <w:rFonts w:ascii="Times New Roman" w:hAnsi="Times New Roman" w:cs="Times New Roman"/>
          <w:sz w:val="28"/>
          <w:szCs w:val="28"/>
          <w:lang w:val="uk-UA"/>
        </w:rPr>
        <w:t>і</w:t>
      </w:r>
      <w:r w:rsidR="00883E85" w:rsidRPr="00712F05">
        <w:rPr>
          <w:rFonts w:ascii="Times New Roman" w:hAnsi="Times New Roman" w:cs="Times New Roman"/>
          <w:sz w:val="28"/>
          <w:szCs w:val="28"/>
          <w:lang w:val="uk-UA"/>
        </w:rPr>
        <w:t xml:space="preserve"> кот</w:t>
      </w:r>
      <w:r w:rsidR="005A3749" w:rsidRPr="00712F05">
        <w:rPr>
          <w:rFonts w:ascii="Times New Roman" w:hAnsi="Times New Roman" w:cs="Times New Roman"/>
          <w:sz w:val="28"/>
          <w:szCs w:val="28"/>
          <w:lang w:val="uk-UA"/>
        </w:rPr>
        <w:t>л</w:t>
      </w:r>
      <w:r w:rsidR="00883E85">
        <w:rPr>
          <w:rFonts w:ascii="Times New Roman" w:hAnsi="Times New Roman" w:cs="Times New Roman"/>
          <w:sz w:val="28"/>
          <w:szCs w:val="28"/>
          <w:lang w:val="uk-UA"/>
        </w:rPr>
        <w:t>и:</w:t>
      </w:r>
      <w:r w:rsidR="005A3749" w:rsidRPr="00712F05">
        <w:rPr>
          <w:rFonts w:ascii="Times New Roman" w:hAnsi="Times New Roman" w:cs="Times New Roman"/>
          <w:sz w:val="28"/>
          <w:szCs w:val="28"/>
          <w:lang w:val="uk-UA"/>
        </w:rPr>
        <w:t xml:space="preserve"> </w:t>
      </w:r>
      <w:r w:rsidR="00004CC9" w:rsidRPr="00712F05">
        <w:rPr>
          <w:rFonts w:ascii="Times New Roman" w:hAnsi="Times New Roman" w:cs="Times New Roman"/>
          <w:sz w:val="28"/>
          <w:szCs w:val="28"/>
          <w:lang w:val="uk-UA"/>
        </w:rPr>
        <w:t>в  адмінбудівл</w:t>
      </w:r>
      <w:r w:rsidR="00004CC9">
        <w:rPr>
          <w:rFonts w:ascii="Times New Roman" w:hAnsi="Times New Roman" w:cs="Times New Roman"/>
          <w:sz w:val="28"/>
          <w:szCs w:val="28"/>
          <w:lang w:val="uk-UA"/>
        </w:rPr>
        <w:t>ях</w:t>
      </w:r>
      <w:r w:rsidR="00004CC9" w:rsidRPr="00712F05">
        <w:rPr>
          <w:rFonts w:ascii="Times New Roman" w:hAnsi="Times New Roman" w:cs="Times New Roman"/>
          <w:sz w:val="28"/>
          <w:szCs w:val="28"/>
          <w:lang w:val="uk-UA"/>
        </w:rPr>
        <w:t xml:space="preserve"> Сакунихської</w:t>
      </w:r>
      <w:r w:rsidR="00004CC9">
        <w:rPr>
          <w:rFonts w:ascii="Times New Roman" w:hAnsi="Times New Roman" w:cs="Times New Roman"/>
          <w:sz w:val="28"/>
          <w:szCs w:val="28"/>
          <w:lang w:val="uk-UA"/>
        </w:rPr>
        <w:t xml:space="preserve"> та</w:t>
      </w:r>
      <w:r w:rsidR="00004CC9" w:rsidRPr="00712F05">
        <w:rPr>
          <w:rFonts w:ascii="Times New Roman" w:hAnsi="Times New Roman" w:cs="Times New Roman"/>
          <w:sz w:val="28"/>
          <w:szCs w:val="28"/>
          <w:lang w:val="uk-UA"/>
        </w:rPr>
        <w:t xml:space="preserve"> Вільшанської сільськ</w:t>
      </w:r>
      <w:r w:rsidR="00004CC9">
        <w:rPr>
          <w:rFonts w:ascii="Times New Roman" w:hAnsi="Times New Roman" w:cs="Times New Roman"/>
          <w:sz w:val="28"/>
          <w:szCs w:val="28"/>
          <w:lang w:val="uk-UA"/>
        </w:rPr>
        <w:t>их</w:t>
      </w:r>
      <w:r w:rsidR="00004CC9" w:rsidRPr="00712F05">
        <w:rPr>
          <w:rFonts w:ascii="Times New Roman" w:hAnsi="Times New Roman" w:cs="Times New Roman"/>
          <w:sz w:val="28"/>
          <w:szCs w:val="28"/>
          <w:lang w:val="uk-UA"/>
        </w:rPr>
        <w:t xml:space="preserve"> рад</w:t>
      </w:r>
      <w:r w:rsidR="00004CC9">
        <w:rPr>
          <w:rFonts w:ascii="Times New Roman" w:hAnsi="Times New Roman" w:cs="Times New Roman"/>
          <w:sz w:val="28"/>
          <w:szCs w:val="28"/>
          <w:lang w:val="uk-UA"/>
        </w:rPr>
        <w:t>,</w:t>
      </w:r>
      <w:r w:rsidR="00004CC9" w:rsidRPr="00712F05">
        <w:rPr>
          <w:rFonts w:ascii="Times New Roman" w:hAnsi="Times New Roman" w:cs="Times New Roman"/>
          <w:sz w:val="28"/>
          <w:szCs w:val="28"/>
          <w:lang w:val="uk-UA"/>
        </w:rPr>
        <w:t xml:space="preserve"> </w:t>
      </w:r>
      <w:r w:rsidR="005A3749" w:rsidRPr="00712F05">
        <w:rPr>
          <w:rFonts w:ascii="Times New Roman" w:hAnsi="Times New Roman" w:cs="Times New Roman"/>
          <w:sz w:val="28"/>
          <w:szCs w:val="28"/>
          <w:lang w:val="uk-UA"/>
        </w:rPr>
        <w:t>в</w:t>
      </w:r>
      <w:r w:rsidR="00883E85" w:rsidRPr="00712F05">
        <w:rPr>
          <w:rFonts w:ascii="Times New Roman" w:hAnsi="Times New Roman" w:cs="Times New Roman"/>
          <w:sz w:val="28"/>
          <w:szCs w:val="28"/>
          <w:lang w:val="uk-UA"/>
        </w:rPr>
        <w:t xml:space="preserve"> Гринівському</w:t>
      </w:r>
      <w:r w:rsidR="00883E85">
        <w:rPr>
          <w:rFonts w:ascii="Times New Roman" w:hAnsi="Times New Roman" w:cs="Times New Roman"/>
          <w:sz w:val="28"/>
          <w:szCs w:val="28"/>
          <w:lang w:val="uk-UA"/>
        </w:rPr>
        <w:t>,</w:t>
      </w:r>
      <w:r w:rsidR="00883E85" w:rsidRPr="00712F05">
        <w:rPr>
          <w:rFonts w:ascii="Times New Roman" w:hAnsi="Times New Roman" w:cs="Times New Roman"/>
          <w:sz w:val="28"/>
          <w:szCs w:val="28"/>
          <w:lang w:val="uk-UA"/>
        </w:rPr>
        <w:t xml:space="preserve"> Перетічанському</w:t>
      </w:r>
      <w:r w:rsidR="00883E85">
        <w:rPr>
          <w:rFonts w:ascii="Times New Roman" w:hAnsi="Times New Roman" w:cs="Times New Roman"/>
          <w:sz w:val="28"/>
          <w:szCs w:val="28"/>
          <w:lang w:val="uk-UA"/>
        </w:rPr>
        <w:t>,</w:t>
      </w:r>
      <w:r w:rsidR="00883E85" w:rsidRPr="00712F05">
        <w:rPr>
          <w:rFonts w:ascii="Times New Roman" w:hAnsi="Times New Roman" w:cs="Times New Roman"/>
          <w:sz w:val="28"/>
          <w:szCs w:val="28"/>
          <w:lang w:val="uk-UA"/>
        </w:rPr>
        <w:t xml:space="preserve"> Долинівському сільськ</w:t>
      </w:r>
      <w:r w:rsidR="00883E85">
        <w:rPr>
          <w:rFonts w:ascii="Times New Roman" w:hAnsi="Times New Roman" w:cs="Times New Roman"/>
          <w:sz w:val="28"/>
          <w:szCs w:val="28"/>
          <w:lang w:val="uk-UA"/>
        </w:rPr>
        <w:t>их</w:t>
      </w:r>
      <w:r w:rsidR="00883E85" w:rsidRPr="00712F05">
        <w:rPr>
          <w:rFonts w:ascii="Times New Roman" w:hAnsi="Times New Roman" w:cs="Times New Roman"/>
          <w:sz w:val="28"/>
          <w:szCs w:val="28"/>
          <w:lang w:val="uk-UA"/>
        </w:rPr>
        <w:t xml:space="preserve"> клубах; </w:t>
      </w:r>
      <w:r w:rsidR="005A3749" w:rsidRPr="00712F05">
        <w:rPr>
          <w:rFonts w:ascii="Times New Roman" w:hAnsi="Times New Roman" w:cs="Times New Roman"/>
          <w:sz w:val="28"/>
          <w:szCs w:val="28"/>
          <w:lang w:val="uk-UA"/>
        </w:rPr>
        <w:t>Комишанському</w:t>
      </w:r>
      <w:r w:rsidR="00883E85">
        <w:rPr>
          <w:rFonts w:ascii="Times New Roman" w:hAnsi="Times New Roman" w:cs="Times New Roman"/>
          <w:sz w:val="28"/>
          <w:szCs w:val="28"/>
          <w:lang w:val="uk-UA"/>
        </w:rPr>
        <w:t xml:space="preserve"> та </w:t>
      </w:r>
      <w:r w:rsidR="00883E85" w:rsidRPr="00712F05">
        <w:rPr>
          <w:rFonts w:ascii="Times New Roman" w:hAnsi="Times New Roman" w:cs="Times New Roman"/>
          <w:sz w:val="28"/>
          <w:szCs w:val="28"/>
          <w:lang w:val="uk-UA"/>
        </w:rPr>
        <w:t xml:space="preserve">Сакунихському </w:t>
      </w:r>
      <w:r w:rsidR="005A3749" w:rsidRPr="00712F05">
        <w:rPr>
          <w:rFonts w:ascii="Times New Roman" w:hAnsi="Times New Roman" w:cs="Times New Roman"/>
          <w:sz w:val="28"/>
          <w:szCs w:val="28"/>
          <w:lang w:val="uk-UA"/>
        </w:rPr>
        <w:t xml:space="preserve">бібліотечному </w:t>
      </w:r>
      <w:r w:rsidR="00883E85" w:rsidRPr="00712F05">
        <w:rPr>
          <w:rFonts w:ascii="Times New Roman" w:hAnsi="Times New Roman" w:cs="Times New Roman"/>
          <w:sz w:val="28"/>
          <w:szCs w:val="28"/>
          <w:lang w:val="uk-UA"/>
        </w:rPr>
        <w:t>фонді</w:t>
      </w:r>
      <w:r w:rsidR="00883E85">
        <w:rPr>
          <w:rFonts w:ascii="Times New Roman" w:hAnsi="Times New Roman" w:cs="Times New Roman"/>
          <w:sz w:val="28"/>
          <w:szCs w:val="28"/>
          <w:lang w:val="uk-UA"/>
        </w:rPr>
        <w:t>.</w:t>
      </w:r>
      <w:r w:rsidR="00883E85" w:rsidRPr="00712F05">
        <w:rPr>
          <w:rFonts w:ascii="Times New Roman" w:hAnsi="Times New Roman" w:cs="Times New Roman"/>
          <w:sz w:val="28"/>
          <w:szCs w:val="28"/>
          <w:lang w:val="uk-UA"/>
        </w:rPr>
        <w:t xml:space="preserve"> </w:t>
      </w:r>
      <w:proofErr w:type="gramStart"/>
      <w:r w:rsidR="00004CC9" w:rsidRPr="005A3749">
        <w:rPr>
          <w:rFonts w:ascii="Times New Roman" w:hAnsi="Times New Roman" w:cs="Times New Roman"/>
          <w:sz w:val="28"/>
          <w:szCs w:val="28"/>
        </w:rPr>
        <w:t>Введений в експлуатацію сучасний котел на твердому паливі у Недригайлівському дитячому садку</w:t>
      </w:r>
      <w:r>
        <w:rPr>
          <w:rFonts w:ascii="Times New Roman" w:hAnsi="Times New Roman" w:cs="Times New Roman"/>
          <w:sz w:val="28"/>
          <w:szCs w:val="28"/>
          <w:lang w:val="uk-UA"/>
        </w:rPr>
        <w:t>.</w:t>
      </w:r>
      <w:proofErr w:type="gramEnd"/>
    </w:p>
    <w:p w:rsidR="008E1913" w:rsidRDefault="00712F05" w:rsidP="0052476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4CC9">
        <w:rPr>
          <w:rFonts w:ascii="Times New Roman" w:hAnsi="Times New Roman" w:cs="Times New Roman"/>
          <w:sz w:val="28"/>
          <w:szCs w:val="28"/>
          <w:lang w:val="uk-UA"/>
        </w:rPr>
        <w:t xml:space="preserve"> </w:t>
      </w:r>
      <w:r w:rsidR="00883E85">
        <w:rPr>
          <w:rFonts w:ascii="Times New Roman" w:hAnsi="Times New Roman" w:cs="Times New Roman"/>
          <w:sz w:val="28"/>
          <w:szCs w:val="28"/>
          <w:lang w:val="uk-UA"/>
        </w:rPr>
        <w:t>В</w:t>
      </w:r>
      <w:r w:rsidR="005A3749" w:rsidRPr="005A3749">
        <w:rPr>
          <w:rFonts w:ascii="Times New Roman" w:hAnsi="Times New Roman" w:cs="Times New Roman"/>
          <w:sz w:val="28"/>
          <w:szCs w:val="28"/>
        </w:rPr>
        <w:t>становлено 28 електрообігрівачів у Коровинському сільському будинку культури і б</w:t>
      </w:r>
      <w:r w:rsidR="00004CC9">
        <w:rPr>
          <w:rFonts w:ascii="Times New Roman" w:hAnsi="Times New Roman" w:cs="Times New Roman"/>
          <w:sz w:val="28"/>
          <w:szCs w:val="28"/>
        </w:rPr>
        <w:t>ібліотечному фонді</w:t>
      </w:r>
      <w:r w:rsidR="00004CC9">
        <w:rPr>
          <w:rFonts w:ascii="Times New Roman" w:hAnsi="Times New Roman" w:cs="Times New Roman"/>
          <w:sz w:val="28"/>
          <w:szCs w:val="28"/>
          <w:lang w:val="uk-UA"/>
        </w:rPr>
        <w:t xml:space="preserve">. </w:t>
      </w:r>
      <w:r w:rsidR="005A3749" w:rsidRPr="00004CC9">
        <w:rPr>
          <w:rFonts w:ascii="Times New Roman" w:hAnsi="Times New Roman" w:cs="Times New Roman"/>
          <w:sz w:val="28"/>
          <w:szCs w:val="28"/>
          <w:lang w:val="uk-UA"/>
        </w:rPr>
        <w:t xml:space="preserve">З метою енергозбереження в гуртожитках ДПТНЗ «Недригайлівське вище професійне училище» замінено вхідні двері на металопластикові, замінені на металопластикові вікна в актовій залі, в спортзалі, в лабораторії технічного обслуговування автомобілів в ДПТНЗ «Недригайлівське вище професійне училище».  </w:t>
      </w:r>
      <w:r w:rsidR="005A3749" w:rsidRPr="005A3749">
        <w:rPr>
          <w:rFonts w:ascii="Times New Roman" w:hAnsi="Times New Roman" w:cs="Times New Roman"/>
          <w:sz w:val="28"/>
          <w:szCs w:val="28"/>
        </w:rPr>
        <w:t xml:space="preserve">Проведено заміну віконних блоків </w:t>
      </w:r>
      <w:proofErr w:type="gramStart"/>
      <w:r w:rsidR="005A3749" w:rsidRPr="005A3749">
        <w:rPr>
          <w:rFonts w:ascii="Times New Roman" w:hAnsi="Times New Roman" w:cs="Times New Roman"/>
          <w:sz w:val="28"/>
          <w:szCs w:val="28"/>
        </w:rPr>
        <w:t>в</w:t>
      </w:r>
      <w:proofErr w:type="gramEnd"/>
      <w:r w:rsidR="005A3749" w:rsidRPr="005A3749">
        <w:rPr>
          <w:rFonts w:ascii="Times New Roman" w:hAnsi="Times New Roman" w:cs="Times New Roman"/>
          <w:sz w:val="28"/>
          <w:szCs w:val="28"/>
        </w:rPr>
        <w:t xml:space="preserve"> Козелянському ФАП.  </w:t>
      </w:r>
    </w:p>
    <w:p w:rsidR="005A3749" w:rsidRPr="005A3749" w:rsidRDefault="008E1913" w:rsidP="00524760">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5A3749" w:rsidRPr="005A3749">
        <w:rPr>
          <w:rFonts w:ascii="Times New Roman" w:hAnsi="Times New Roman" w:cs="Times New Roman"/>
          <w:sz w:val="28"/>
          <w:szCs w:val="28"/>
        </w:rPr>
        <w:t xml:space="preserve"> На благоустрій територій будо використано </w:t>
      </w:r>
      <w:r w:rsidR="005A3749" w:rsidRPr="005A3749">
        <w:rPr>
          <w:rFonts w:ascii="Times New Roman" w:hAnsi="Times New Roman" w:cs="Times New Roman"/>
          <w:bCs/>
          <w:sz w:val="28"/>
          <w:szCs w:val="28"/>
        </w:rPr>
        <w:t>4535, 0 тис</w:t>
      </w:r>
      <w:proofErr w:type="gramStart"/>
      <w:r w:rsidR="005A3749" w:rsidRPr="005A3749">
        <w:rPr>
          <w:rFonts w:ascii="Times New Roman" w:hAnsi="Times New Roman" w:cs="Times New Roman"/>
          <w:bCs/>
          <w:sz w:val="28"/>
          <w:szCs w:val="28"/>
        </w:rPr>
        <w:t>.</w:t>
      </w:r>
      <w:proofErr w:type="gramEnd"/>
      <w:r w:rsidR="005A3749" w:rsidRPr="005A3749">
        <w:rPr>
          <w:rFonts w:ascii="Times New Roman" w:hAnsi="Times New Roman" w:cs="Times New Roman"/>
          <w:bCs/>
          <w:sz w:val="28"/>
          <w:szCs w:val="28"/>
        </w:rPr>
        <w:t xml:space="preserve"> </w:t>
      </w:r>
      <w:proofErr w:type="gramStart"/>
      <w:r w:rsidR="005A3749" w:rsidRPr="005A3749">
        <w:rPr>
          <w:rFonts w:ascii="Times New Roman" w:hAnsi="Times New Roman" w:cs="Times New Roman"/>
          <w:bCs/>
          <w:sz w:val="28"/>
          <w:szCs w:val="28"/>
        </w:rPr>
        <w:t>г</w:t>
      </w:r>
      <w:proofErr w:type="gramEnd"/>
      <w:r w:rsidR="005A3749" w:rsidRPr="005A3749">
        <w:rPr>
          <w:rFonts w:ascii="Times New Roman" w:hAnsi="Times New Roman" w:cs="Times New Roman"/>
          <w:bCs/>
          <w:sz w:val="28"/>
          <w:szCs w:val="28"/>
        </w:rPr>
        <w:t xml:space="preserve">рн, в тому числі на ремонт і реконструкцію дорожньо-мостового господарства – </w:t>
      </w:r>
      <w:r w:rsidR="005A3749" w:rsidRPr="005A3749">
        <w:rPr>
          <w:rFonts w:ascii="Times New Roman" w:hAnsi="Times New Roman" w:cs="Times New Roman"/>
          <w:sz w:val="28"/>
          <w:szCs w:val="28"/>
        </w:rPr>
        <w:t xml:space="preserve">2930,1тис. грн., із них 2675,0 тис. грн. кошти державного бюджету (по філії «Недригайлівський райавтодор») та  305,0 тис. грн. місцевого бюджету; </w:t>
      </w:r>
    </w:p>
    <w:p w:rsidR="005A3749" w:rsidRPr="005A3749" w:rsidRDefault="00712F05" w:rsidP="00082171">
      <w:pPr>
        <w:spacing w:line="240" w:lineRule="auto"/>
        <w:jc w:val="both"/>
        <w:rPr>
          <w:rFonts w:ascii="Times New Roman" w:hAnsi="Times New Roman" w:cs="Times New Roman"/>
          <w:b/>
          <w:sz w:val="28"/>
          <w:szCs w:val="28"/>
        </w:rPr>
      </w:pPr>
      <w:r>
        <w:rPr>
          <w:rFonts w:ascii="Times New Roman" w:hAnsi="Times New Roman" w:cs="Times New Roman"/>
          <w:b/>
          <w:sz w:val="28"/>
          <w:szCs w:val="28"/>
          <w:lang w:val="uk-UA"/>
        </w:rPr>
        <w:t xml:space="preserve">      </w:t>
      </w:r>
      <w:r w:rsidR="005A3749" w:rsidRPr="005A3749">
        <w:rPr>
          <w:rFonts w:ascii="Times New Roman" w:hAnsi="Times New Roman" w:cs="Times New Roman"/>
          <w:b/>
          <w:sz w:val="28"/>
          <w:szCs w:val="28"/>
        </w:rPr>
        <w:t xml:space="preserve"> Створення об’єднань співвласників багатоквартирних будинків</w:t>
      </w:r>
    </w:p>
    <w:p w:rsidR="005A3749" w:rsidRPr="005A3749" w:rsidRDefault="005A3749" w:rsidP="00082171">
      <w:pPr>
        <w:spacing w:line="240" w:lineRule="auto"/>
        <w:jc w:val="both"/>
        <w:rPr>
          <w:rFonts w:ascii="Times New Roman" w:hAnsi="Times New Roman" w:cs="Times New Roman"/>
          <w:b/>
          <w:sz w:val="28"/>
          <w:szCs w:val="28"/>
        </w:rPr>
      </w:pPr>
      <w:r w:rsidRPr="005A3749">
        <w:rPr>
          <w:rFonts w:ascii="Times New Roman" w:hAnsi="Times New Roman" w:cs="Times New Roman"/>
          <w:b/>
          <w:sz w:val="28"/>
          <w:szCs w:val="28"/>
        </w:rPr>
        <w:t xml:space="preserve">     </w:t>
      </w:r>
      <w:r w:rsidRPr="005A3749">
        <w:rPr>
          <w:rFonts w:ascii="Times New Roman" w:hAnsi="Times New Roman" w:cs="Times New Roman"/>
          <w:bCs/>
          <w:sz w:val="28"/>
          <w:szCs w:val="28"/>
        </w:rPr>
        <w:t>На території</w:t>
      </w:r>
      <w:r w:rsidRPr="005A3749">
        <w:rPr>
          <w:rFonts w:ascii="Times New Roman" w:hAnsi="Times New Roman" w:cs="Times New Roman"/>
          <w:b/>
          <w:bCs/>
          <w:sz w:val="28"/>
          <w:szCs w:val="28"/>
        </w:rPr>
        <w:t xml:space="preserve"> </w:t>
      </w:r>
      <w:r w:rsidRPr="005A3749">
        <w:rPr>
          <w:rFonts w:ascii="Times New Roman" w:hAnsi="Times New Roman" w:cs="Times New Roman"/>
          <w:sz w:val="28"/>
          <w:szCs w:val="28"/>
        </w:rPr>
        <w:t xml:space="preserve">в наявності </w:t>
      </w:r>
      <w:proofErr w:type="gramStart"/>
      <w:r w:rsidRPr="005A3749">
        <w:rPr>
          <w:rFonts w:ascii="Times New Roman" w:hAnsi="Times New Roman" w:cs="Times New Roman"/>
          <w:sz w:val="28"/>
          <w:szCs w:val="28"/>
        </w:rPr>
        <w:t>створен</w:t>
      </w:r>
      <w:proofErr w:type="gramEnd"/>
      <w:r w:rsidRPr="005A3749">
        <w:rPr>
          <w:rFonts w:ascii="Times New Roman" w:hAnsi="Times New Roman" w:cs="Times New Roman"/>
          <w:sz w:val="28"/>
          <w:szCs w:val="28"/>
        </w:rPr>
        <w:t xml:space="preserve">і у 2007-2008 роках наступні ОСББ: </w:t>
      </w:r>
    </w:p>
    <w:tbl>
      <w:tblPr>
        <w:tblW w:w="8916" w:type="dxa"/>
        <w:tblInd w:w="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5"/>
        <w:gridCol w:w="2716"/>
        <w:gridCol w:w="2245"/>
      </w:tblGrid>
      <w:tr w:rsidR="005A3749" w:rsidRPr="005A3749" w:rsidTr="00712F05">
        <w:trPr>
          <w:trHeight w:val="694"/>
        </w:trPr>
        <w:tc>
          <w:tcPr>
            <w:tcW w:w="3955" w:type="dxa"/>
          </w:tcPr>
          <w:p w:rsidR="005A3749" w:rsidRPr="00712F05" w:rsidRDefault="005A3749" w:rsidP="00082171">
            <w:pPr>
              <w:ind w:firstLine="19"/>
              <w:jc w:val="both"/>
              <w:rPr>
                <w:rFonts w:ascii="Times New Roman" w:hAnsi="Times New Roman" w:cs="Times New Roman"/>
                <w:b/>
              </w:rPr>
            </w:pPr>
            <w:r w:rsidRPr="00712F05">
              <w:rPr>
                <w:rFonts w:ascii="Times New Roman" w:hAnsi="Times New Roman" w:cs="Times New Roman"/>
                <w:b/>
              </w:rPr>
              <w:t>Адреса</w:t>
            </w:r>
          </w:p>
        </w:tc>
        <w:tc>
          <w:tcPr>
            <w:tcW w:w="2716" w:type="dxa"/>
          </w:tcPr>
          <w:p w:rsidR="005A3749" w:rsidRPr="00712F05" w:rsidRDefault="005A3749" w:rsidP="00082171">
            <w:pPr>
              <w:ind w:firstLine="19"/>
              <w:jc w:val="both"/>
              <w:rPr>
                <w:rFonts w:ascii="Times New Roman" w:hAnsi="Times New Roman" w:cs="Times New Roman"/>
                <w:b/>
              </w:rPr>
            </w:pPr>
            <w:r w:rsidRPr="00712F05">
              <w:rPr>
                <w:rFonts w:ascii="Times New Roman" w:hAnsi="Times New Roman" w:cs="Times New Roman"/>
                <w:b/>
              </w:rPr>
              <w:t>Назва об</w:t>
            </w:r>
            <w:r w:rsidRPr="00712F05">
              <w:rPr>
                <w:rFonts w:ascii="Times New Roman" w:hAnsi="Times New Roman" w:cs="Times New Roman"/>
                <w:b/>
                <w:sz w:val="28"/>
                <w:szCs w:val="28"/>
              </w:rPr>
              <w:t>’</w:t>
            </w:r>
            <w:r w:rsidRPr="00712F05">
              <w:rPr>
                <w:rFonts w:ascii="Times New Roman" w:hAnsi="Times New Roman" w:cs="Times New Roman"/>
                <w:b/>
              </w:rPr>
              <w:t>єднання</w:t>
            </w:r>
          </w:p>
        </w:tc>
        <w:tc>
          <w:tcPr>
            <w:tcW w:w="2245" w:type="dxa"/>
          </w:tcPr>
          <w:p w:rsidR="005A3749" w:rsidRPr="00712F05" w:rsidRDefault="005A3749" w:rsidP="00082171">
            <w:pPr>
              <w:ind w:firstLine="19"/>
              <w:jc w:val="both"/>
              <w:rPr>
                <w:rFonts w:ascii="Times New Roman" w:hAnsi="Times New Roman" w:cs="Times New Roman"/>
                <w:b/>
                <w:lang w:val="uk-UA"/>
              </w:rPr>
            </w:pPr>
            <w:proofErr w:type="gramStart"/>
            <w:r w:rsidRPr="00712F05">
              <w:rPr>
                <w:rFonts w:ascii="Times New Roman" w:hAnsi="Times New Roman" w:cs="Times New Roman"/>
                <w:b/>
              </w:rPr>
              <w:t>Р</w:t>
            </w:r>
            <w:proofErr w:type="gramEnd"/>
            <w:r w:rsidRPr="00712F05">
              <w:rPr>
                <w:rFonts w:ascii="Times New Roman" w:hAnsi="Times New Roman" w:cs="Times New Roman"/>
                <w:b/>
              </w:rPr>
              <w:t>ік</w:t>
            </w:r>
            <w:r w:rsidR="00712F05" w:rsidRPr="00712F05">
              <w:rPr>
                <w:rFonts w:ascii="Times New Roman" w:hAnsi="Times New Roman" w:cs="Times New Roman"/>
                <w:b/>
                <w:lang w:val="uk-UA"/>
              </w:rPr>
              <w:t xml:space="preserve"> створення</w:t>
            </w:r>
          </w:p>
          <w:p w:rsidR="005A3749" w:rsidRPr="00712F05" w:rsidRDefault="005A3749" w:rsidP="00082171">
            <w:pPr>
              <w:ind w:firstLine="19"/>
              <w:jc w:val="both"/>
              <w:rPr>
                <w:rFonts w:ascii="Times New Roman" w:hAnsi="Times New Roman" w:cs="Times New Roman"/>
                <w:b/>
                <w:lang w:val="uk-UA"/>
              </w:rPr>
            </w:pPr>
          </w:p>
        </w:tc>
      </w:tr>
      <w:tr w:rsidR="005A3749" w:rsidRPr="005A3749" w:rsidTr="00712F05">
        <w:trPr>
          <w:trHeight w:val="400"/>
        </w:trPr>
        <w:tc>
          <w:tcPr>
            <w:tcW w:w="3955" w:type="dxa"/>
          </w:tcPr>
          <w:p w:rsidR="005A3749" w:rsidRPr="005A3749" w:rsidRDefault="005A3749" w:rsidP="00082171">
            <w:pPr>
              <w:ind w:firstLine="19"/>
              <w:jc w:val="both"/>
              <w:rPr>
                <w:rFonts w:ascii="Times New Roman" w:hAnsi="Times New Roman" w:cs="Times New Roman"/>
              </w:rPr>
            </w:pPr>
            <w:r w:rsidRPr="005A3749">
              <w:rPr>
                <w:rFonts w:ascii="Times New Roman" w:hAnsi="Times New Roman" w:cs="Times New Roman"/>
              </w:rPr>
              <w:t>с. Засулля, вул. Линника, 2</w:t>
            </w:r>
          </w:p>
        </w:tc>
        <w:tc>
          <w:tcPr>
            <w:tcW w:w="2716" w:type="dxa"/>
          </w:tcPr>
          <w:p w:rsidR="005A3749" w:rsidRPr="005A3749" w:rsidRDefault="005A3749" w:rsidP="00082171">
            <w:pPr>
              <w:ind w:firstLine="19"/>
              <w:jc w:val="both"/>
              <w:rPr>
                <w:rFonts w:ascii="Times New Roman" w:hAnsi="Times New Roman" w:cs="Times New Roman"/>
              </w:rPr>
            </w:pPr>
            <w:r w:rsidRPr="005A3749">
              <w:rPr>
                <w:rFonts w:ascii="Times New Roman" w:hAnsi="Times New Roman" w:cs="Times New Roman"/>
              </w:rPr>
              <w:t>«Заводське»</w:t>
            </w:r>
          </w:p>
        </w:tc>
        <w:tc>
          <w:tcPr>
            <w:tcW w:w="2245" w:type="dxa"/>
          </w:tcPr>
          <w:p w:rsidR="005A3749" w:rsidRPr="005A3749" w:rsidRDefault="005A3749" w:rsidP="00082171">
            <w:pPr>
              <w:ind w:firstLine="19"/>
              <w:jc w:val="both"/>
              <w:rPr>
                <w:rFonts w:ascii="Times New Roman" w:hAnsi="Times New Roman" w:cs="Times New Roman"/>
              </w:rPr>
            </w:pPr>
            <w:r w:rsidRPr="005A3749">
              <w:rPr>
                <w:rFonts w:ascii="Times New Roman" w:hAnsi="Times New Roman" w:cs="Times New Roman"/>
              </w:rPr>
              <w:t>2008</w:t>
            </w:r>
          </w:p>
        </w:tc>
      </w:tr>
      <w:tr w:rsidR="005A3749" w:rsidRPr="005A3749" w:rsidTr="00712F05">
        <w:trPr>
          <w:trHeight w:val="400"/>
        </w:trPr>
        <w:tc>
          <w:tcPr>
            <w:tcW w:w="3955" w:type="dxa"/>
          </w:tcPr>
          <w:p w:rsidR="005A3749" w:rsidRPr="005A3749" w:rsidRDefault="005A3749" w:rsidP="00082171">
            <w:pPr>
              <w:ind w:firstLine="19"/>
              <w:jc w:val="both"/>
              <w:rPr>
                <w:rFonts w:ascii="Times New Roman" w:hAnsi="Times New Roman" w:cs="Times New Roman"/>
              </w:rPr>
            </w:pPr>
            <w:r w:rsidRPr="005A3749">
              <w:rPr>
                <w:rFonts w:ascii="Times New Roman" w:hAnsi="Times New Roman" w:cs="Times New Roman"/>
              </w:rPr>
              <w:t>с. Засулля, вул. Зарічна</w:t>
            </w:r>
          </w:p>
        </w:tc>
        <w:tc>
          <w:tcPr>
            <w:tcW w:w="2716" w:type="dxa"/>
          </w:tcPr>
          <w:p w:rsidR="005A3749" w:rsidRPr="005A3749" w:rsidRDefault="005A3749" w:rsidP="00082171">
            <w:pPr>
              <w:ind w:firstLine="19"/>
              <w:jc w:val="both"/>
              <w:rPr>
                <w:rFonts w:ascii="Times New Roman" w:hAnsi="Times New Roman" w:cs="Times New Roman"/>
              </w:rPr>
            </w:pPr>
            <w:r w:rsidRPr="005A3749">
              <w:rPr>
                <w:rFonts w:ascii="Times New Roman" w:hAnsi="Times New Roman" w:cs="Times New Roman"/>
              </w:rPr>
              <w:t>«Зарічна 1.3.»</w:t>
            </w:r>
          </w:p>
        </w:tc>
        <w:tc>
          <w:tcPr>
            <w:tcW w:w="2245" w:type="dxa"/>
          </w:tcPr>
          <w:p w:rsidR="005A3749" w:rsidRPr="005A3749" w:rsidRDefault="005A3749" w:rsidP="00082171">
            <w:pPr>
              <w:ind w:firstLine="19"/>
              <w:jc w:val="both"/>
              <w:rPr>
                <w:rFonts w:ascii="Times New Roman" w:hAnsi="Times New Roman" w:cs="Times New Roman"/>
              </w:rPr>
            </w:pPr>
            <w:r w:rsidRPr="005A3749">
              <w:rPr>
                <w:rFonts w:ascii="Times New Roman" w:hAnsi="Times New Roman" w:cs="Times New Roman"/>
              </w:rPr>
              <w:t>2007</w:t>
            </w:r>
          </w:p>
        </w:tc>
      </w:tr>
      <w:tr w:rsidR="005A3749" w:rsidRPr="005A3749" w:rsidTr="00712F05">
        <w:trPr>
          <w:trHeight w:val="400"/>
        </w:trPr>
        <w:tc>
          <w:tcPr>
            <w:tcW w:w="3955" w:type="dxa"/>
          </w:tcPr>
          <w:p w:rsidR="005A3749" w:rsidRPr="005A3749" w:rsidRDefault="005A3749" w:rsidP="00082171">
            <w:pPr>
              <w:ind w:firstLine="19"/>
              <w:jc w:val="both"/>
              <w:rPr>
                <w:rFonts w:ascii="Times New Roman" w:hAnsi="Times New Roman" w:cs="Times New Roman"/>
              </w:rPr>
            </w:pPr>
            <w:r w:rsidRPr="005A3749">
              <w:rPr>
                <w:rFonts w:ascii="Times New Roman" w:hAnsi="Times New Roman" w:cs="Times New Roman"/>
              </w:rPr>
              <w:t>смт. Недригайлів, вул. Шмідта, 30</w:t>
            </w:r>
          </w:p>
        </w:tc>
        <w:tc>
          <w:tcPr>
            <w:tcW w:w="2716" w:type="dxa"/>
          </w:tcPr>
          <w:p w:rsidR="005A3749" w:rsidRPr="005A3749" w:rsidRDefault="005A3749" w:rsidP="00082171">
            <w:pPr>
              <w:ind w:firstLine="19"/>
              <w:jc w:val="both"/>
              <w:rPr>
                <w:rFonts w:ascii="Times New Roman" w:hAnsi="Times New Roman" w:cs="Times New Roman"/>
              </w:rPr>
            </w:pPr>
            <w:r w:rsidRPr="005A3749">
              <w:rPr>
                <w:rFonts w:ascii="Times New Roman" w:hAnsi="Times New Roman" w:cs="Times New Roman"/>
              </w:rPr>
              <w:t>«Промінь»</w:t>
            </w:r>
          </w:p>
        </w:tc>
        <w:tc>
          <w:tcPr>
            <w:tcW w:w="2245" w:type="dxa"/>
          </w:tcPr>
          <w:p w:rsidR="005A3749" w:rsidRPr="005A3749" w:rsidRDefault="005A3749" w:rsidP="00082171">
            <w:pPr>
              <w:ind w:firstLine="19"/>
              <w:jc w:val="both"/>
              <w:rPr>
                <w:rFonts w:ascii="Times New Roman" w:hAnsi="Times New Roman" w:cs="Times New Roman"/>
              </w:rPr>
            </w:pPr>
            <w:r w:rsidRPr="005A3749">
              <w:rPr>
                <w:rFonts w:ascii="Times New Roman" w:hAnsi="Times New Roman" w:cs="Times New Roman"/>
              </w:rPr>
              <w:t>2008</w:t>
            </w:r>
          </w:p>
        </w:tc>
      </w:tr>
      <w:tr w:rsidR="005A3749" w:rsidRPr="005A3749" w:rsidTr="00712F05">
        <w:trPr>
          <w:trHeight w:val="400"/>
        </w:trPr>
        <w:tc>
          <w:tcPr>
            <w:tcW w:w="3955" w:type="dxa"/>
          </w:tcPr>
          <w:p w:rsidR="005A3749" w:rsidRPr="005A3749" w:rsidRDefault="005A3749" w:rsidP="00082171">
            <w:pPr>
              <w:ind w:left="161"/>
              <w:jc w:val="both"/>
              <w:rPr>
                <w:rFonts w:ascii="Times New Roman" w:hAnsi="Times New Roman" w:cs="Times New Roman"/>
              </w:rPr>
            </w:pPr>
            <w:r w:rsidRPr="005A3749">
              <w:rPr>
                <w:rFonts w:ascii="Times New Roman" w:hAnsi="Times New Roman" w:cs="Times New Roman"/>
              </w:rPr>
              <w:t>смт. Недригайлів, вул. Шмідта, 32</w:t>
            </w:r>
          </w:p>
        </w:tc>
        <w:tc>
          <w:tcPr>
            <w:tcW w:w="2716" w:type="dxa"/>
          </w:tcPr>
          <w:p w:rsidR="005A3749" w:rsidRPr="005A3749" w:rsidRDefault="005A3749" w:rsidP="00082171">
            <w:pPr>
              <w:jc w:val="both"/>
              <w:rPr>
                <w:rFonts w:ascii="Times New Roman" w:hAnsi="Times New Roman" w:cs="Times New Roman"/>
              </w:rPr>
            </w:pPr>
            <w:r w:rsidRPr="005A3749">
              <w:rPr>
                <w:rFonts w:ascii="Times New Roman" w:hAnsi="Times New Roman" w:cs="Times New Roman"/>
              </w:rPr>
              <w:t>«</w:t>
            </w:r>
            <w:proofErr w:type="gramStart"/>
            <w:r w:rsidRPr="005A3749">
              <w:rPr>
                <w:rFonts w:ascii="Times New Roman" w:hAnsi="Times New Roman" w:cs="Times New Roman"/>
              </w:rPr>
              <w:t>Над</w:t>
            </w:r>
            <w:proofErr w:type="gramEnd"/>
            <w:r w:rsidRPr="005A3749">
              <w:rPr>
                <w:rFonts w:ascii="Times New Roman" w:hAnsi="Times New Roman" w:cs="Times New Roman"/>
              </w:rPr>
              <w:t>ія»</w:t>
            </w:r>
          </w:p>
        </w:tc>
        <w:tc>
          <w:tcPr>
            <w:tcW w:w="2245" w:type="dxa"/>
          </w:tcPr>
          <w:p w:rsidR="005A3749" w:rsidRPr="005A3749" w:rsidRDefault="005A3749" w:rsidP="00082171">
            <w:pPr>
              <w:jc w:val="both"/>
              <w:rPr>
                <w:rFonts w:ascii="Times New Roman" w:hAnsi="Times New Roman" w:cs="Times New Roman"/>
              </w:rPr>
            </w:pPr>
            <w:r w:rsidRPr="005A3749">
              <w:rPr>
                <w:rFonts w:ascii="Times New Roman" w:hAnsi="Times New Roman" w:cs="Times New Roman"/>
              </w:rPr>
              <w:t>2008</w:t>
            </w:r>
          </w:p>
        </w:tc>
      </w:tr>
    </w:tbl>
    <w:p w:rsidR="005A3749" w:rsidRPr="005A3749" w:rsidRDefault="005A3749" w:rsidP="00082171">
      <w:pPr>
        <w:spacing w:line="240" w:lineRule="auto"/>
        <w:jc w:val="both"/>
        <w:rPr>
          <w:rFonts w:ascii="Times New Roman" w:hAnsi="Times New Roman" w:cs="Times New Roman"/>
          <w:sz w:val="28"/>
          <w:szCs w:val="28"/>
        </w:rPr>
      </w:pPr>
      <w:r w:rsidRPr="005A3749">
        <w:rPr>
          <w:rFonts w:ascii="Times New Roman" w:hAnsi="Times New Roman" w:cs="Times New Roman"/>
          <w:sz w:val="28"/>
          <w:szCs w:val="28"/>
        </w:rPr>
        <w:lastRenderedPageBreak/>
        <w:t xml:space="preserve">     Недригайлівською селищною та Засульською сільськими радами проводиться робота з ОСББ щодо їх реєстрації як юридичних </w:t>
      </w:r>
      <w:proofErr w:type="gramStart"/>
      <w:r w:rsidRPr="005A3749">
        <w:rPr>
          <w:rFonts w:ascii="Times New Roman" w:hAnsi="Times New Roman" w:cs="Times New Roman"/>
          <w:sz w:val="28"/>
          <w:szCs w:val="28"/>
        </w:rPr>
        <w:t>осіб</w:t>
      </w:r>
      <w:proofErr w:type="gramEnd"/>
      <w:r w:rsidRPr="005A3749">
        <w:rPr>
          <w:rFonts w:ascii="Times New Roman" w:hAnsi="Times New Roman" w:cs="Times New Roman"/>
          <w:sz w:val="28"/>
          <w:szCs w:val="28"/>
        </w:rPr>
        <w:t>. У 2012 та 2013 роках нові ОСББ не створювалися.</w:t>
      </w:r>
    </w:p>
    <w:p w:rsidR="00810726" w:rsidRPr="00810726" w:rsidRDefault="00810726" w:rsidP="00810726">
      <w:pPr>
        <w:spacing w:line="240" w:lineRule="auto"/>
        <w:jc w:val="center"/>
        <w:rPr>
          <w:rFonts w:ascii="Times New Roman" w:hAnsi="Times New Roman" w:cs="Times New Roman"/>
          <w:b/>
          <w:bCs/>
          <w:sz w:val="28"/>
          <w:szCs w:val="28"/>
          <w:lang w:val="uk-UA"/>
        </w:rPr>
      </w:pPr>
      <w:r w:rsidRPr="00810726">
        <w:rPr>
          <w:rFonts w:ascii="Times New Roman" w:hAnsi="Times New Roman" w:cs="Times New Roman"/>
          <w:b/>
          <w:bCs/>
          <w:sz w:val="28"/>
          <w:szCs w:val="28"/>
          <w:lang w:val="uk-UA"/>
        </w:rPr>
        <w:t xml:space="preserve"> Енергозабезпечення та енергозбереження.</w:t>
      </w:r>
    </w:p>
    <w:p w:rsidR="00712F05" w:rsidRDefault="00DD49FD" w:rsidP="00712F05">
      <w:pPr>
        <w:spacing w:after="0" w:line="240" w:lineRule="auto"/>
        <w:jc w:val="center"/>
        <w:rPr>
          <w:rFonts w:ascii="Times New Roman" w:hAnsi="Times New Roman" w:cs="Times New Roman"/>
          <w:sz w:val="28"/>
          <w:szCs w:val="28"/>
          <w:lang w:val="uk-UA"/>
        </w:rPr>
      </w:pPr>
      <w:r>
        <w:rPr>
          <w:rFonts w:ascii="Times New Roman" w:hAnsi="Times New Roman" w:cs="Times New Roman"/>
          <w:b/>
          <w:sz w:val="28"/>
          <w:szCs w:val="28"/>
        </w:rPr>
        <w:t xml:space="preserve"> </w:t>
      </w:r>
      <w:r>
        <w:rPr>
          <w:rFonts w:ascii="Times New Roman" w:hAnsi="Times New Roman" w:cs="Times New Roman"/>
          <w:b/>
          <w:sz w:val="28"/>
          <w:szCs w:val="28"/>
          <w:lang w:val="uk-UA"/>
        </w:rPr>
        <w:t>В</w:t>
      </w:r>
      <w:r w:rsidR="005A3749" w:rsidRPr="00810726">
        <w:rPr>
          <w:rFonts w:ascii="Times New Roman" w:hAnsi="Times New Roman" w:cs="Times New Roman"/>
          <w:b/>
          <w:sz w:val="28"/>
          <w:szCs w:val="28"/>
        </w:rPr>
        <w:t>иконання програми освітлення населених пунктів області на 2012-2015 роки.</w:t>
      </w:r>
    </w:p>
    <w:p w:rsidR="00712F05" w:rsidRPr="00810726" w:rsidRDefault="00712F05" w:rsidP="000C2542">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810726">
        <w:rPr>
          <w:rFonts w:ascii="Times New Roman" w:hAnsi="Times New Roman" w:cs="Times New Roman"/>
          <w:sz w:val="28"/>
          <w:szCs w:val="28"/>
        </w:rPr>
        <w:t xml:space="preserve">  У 2012 році на викання заходів з відновлення, реконструкції зовнішнього освітлення населених пунктів району використано 139,663 тис</w:t>
      </w:r>
      <w:proofErr w:type="gramStart"/>
      <w:r w:rsidRPr="00810726">
        <w:rPr>
          <w:rFonts w:ascii="Times New Roman" w:hAnsi="Times New Roman" w:cs="Times New Roman"/>
          <w:sz w:val="28"/>
          <w:szCs w:val="28"/>
        </w:rPr>
        <w:t>.</w:t>
      </w:r>
      <w:proofErr w:type="gramEnd"/>
      <w:r w:rsidRPr="00810726">
        <w:rPr>
          <w:rFonts w:ascii="Times New Roman" w:hAnsi="Times New Roman" w:cs="Times New Roman"/>
          <w:sz w:val="28"/>
          <w:szCs w:val="28"/>
        </w:rPr>
        <w:t xml:space="preserve"> </w:t>
      </w:r>
      <w:proofErr w:type="gramStart"/>
      <w:r w:rsidRPr="00810726">
        <w:rPr>
          <w:rFonts w:ascii="Times New Roman" w:hAnsi="Times New Roman" w:cs="Times New Roman"/>
          <w:sz w:val="28"/>
          <w:szCs w:val="28"/>
        </w:rPr>
        <w:t>г</w:t>
      </w:r>
      <w:proofErr w:type="gramEnd"/>
      <w:r w:rsidRPr="00810726">
        <w:rPr>
          <w:rFonts w:ascii="Times New Roman" w:hAnsi="Times New Roman" w:cs="Times New Roman"/>
          <w:sz w:val="28"/>
          <w:szCs w:val="28"/>
        </w:rPr>
        <w:t xml:space="preserve">рн.  Відновлено 6,04 км мереж, встановлено 7 лічильників та 340 </w:t>
      </w:r>
      <w:proofErr w:type="gramStart"/>
      <w:r w:rsidRPr="00810726">
        <w:rPr>
          <w:rFonts w:ascii="Times New Roman" w:hAnsi="Times New Roman" w:cs="Times New Roman"/>
          <w:sz w:val="28"/>
          <w:szCs w:val="28"/>
        </w:rPr>
        <w:t>св</w:t>
      </w:r>
      <w:proofErr w:type="gramEnd"/>
      <w:r w:rsidRPr="00810726">
        <w:rPr>
          <w:rFonts w:ascii="Times New Roman" w:hAnsi="Times New Roman" w:cs="Times New Roman"/>
          <w:sz w:val="28"/>
          <w:szCs w:val="28"/>
        </w:rPr>
        <w:t>ітильників та ламп. Роботи виконувалися по Недригайлівській і Тернівській селищним, Вільшанській, Коровинській, Козельненській, Кулішівській, Засульській сільським радам.</w:t>
      </w:r>
    </w:p>
    <w:p w:rsidR="000C2542" w:rsidRDefault="005A3749" w:rsidP="000C2542">
      <w:pPr>
        <w:spacing w:after="0" w:line="240" w:lineRule="auto"/>
        <w:jc w:val="both"/>
        <w:rPr>
          <w:rFonts w:ascii="Times New Roman" w:hAnsi="Times New Roman" w:cs="Times New Roman"/>
          <w:sz w:val="28"/>
          <w:szCs w:val="28"/>
          <w:lang w:val="uk-UA"/>
        </w:rPr>
      </w:pPr>
      <w:r w:rsidRPr="00810726">
        <w:rPr>
          <w:rFonts w:ascii="Times New Roman" w:hAnsi="Times New Roman" w:cs="Times New Roman"/>
          <w:b/>
          <w:sz w:val="28"/>
          <w:szCs w:val="28"/>
        </w:rPr>
        <w:t xml:space="preserve">          </w:t>
      </w:r>
      <w:r w:rsidRPr="00810726">
        <w:rPr>
          <w:rFonts w:ascii="Times New Roman" w:hAnsi="Times New Roman" w:cs="Times New Roman"/>
          <w:sz w:val="28"/>
          <w:szCs w:val="28"/>
        </w:rPr>
        <w:t>У 2013 році на відновлення, реконструкцію зовнішнього освітлення населених пунктів району використано 102,424 тис. грн., а саме: по Недригайлівській селищній раді – встановлено 2 лічильника, 2 шафи управління, відновлено 2,08 км мережі з 27 світильниками на суму 53,994 тис. грн., по</w:t>
      </w:r>
      <w:proofErr w:type="gramStart"/>
      <w:r w:rsidRPr="00810726">
        <w:rPr>
          <w:rFonts w:ascii="Times New Roman" w:hAnsi="Times New Roman" w:cs="Times New Roman"/>
          <w:sz w:val="28"/>
          <w:szCs w:val="28"/>
        </w:rPr>
        <w:t xml:space="preserve"> В</w:t>
      </w:r>
      <w:proofErr w:type="gramEnd"/>
      <w:r w:rsidRPr="00810726">
        <w:rPr>
          <w:rFonts w:ascii="Times New Roman" w:hAnsi="Times New Roman" w:cs="Times New Roman"/>
          <w:sz w:val="28"/>
          <w:szCs w:val="28"/>
        </w:rPr>
        <w:t>ільшансь</w:t>
      </w:r>
      <w:r w:rsidR="00712F05">
        <w:rPr>
          <w:rFonts w:ascii="Times New Roman" w:hAnsi="Times New Roman" w:cs="Times New Roman"/>
          <w:sz w:val="28"/>
          <w:szCs w:val="28"/>
        </w:rPr>
        <w:t xml:space="preserve">кій сільській раді – </w:t>
      </w:r>
      <w:r w:rsidRPr="00810726">
        <w:rPr>
          <w:rFonts w:ascii="Times New Roman" w:hAnsi="Times New Roman" w:cs="Times New Roman"/>
          <w:sz w:val="28"/>
          <w:szCs w:val="28"/>
        </w:rPr>
        <w:t xml:space="preserve"> встановлено 6 лічильників, 6 шаф управління, відновлено 8,62 км мережі з 102 </w:t>
      </w:r>
      <w:proofErr w:type="gramStart"/>
      <w:r w:rsidRPr="00810726">
        <w:rPr>
          <w:rFonts w:ascii="Times New Roman" w:hAnsi="Times New Roman" w:cs="Times New Roman"/>
          <w:sz w:val="28"/>
          <w:szCs w:val="28"/>
        </w:rPr>
        <w:t>св</w:t>
      </w:r>
      <w:proofErr w:type="gramEnd"/>
      <w:r w:rsidRPr="00810726">
        <w:rPr>
          <w:rFonts w:ascii="Times New Roman" w:hAnsi="Times New Roman" w:cs="Times New Roman"/>
          <w:sz w:val="28"/>
          <w:szCs w:val="28"/>
        </w:rPr>
        <w:t>ітильниками на суму 32,3 тис. грн.  та по Коровинській сільській раді встановлено 1 лічильника, 1 шафа управління, відновлено 0,9 км мережі з 12 світильниками на суму 16,18 тис. грн.</w:t>
      </w:r>
    </w:p>
    <w:p w:rsidR="005A3749" w:rsidRDefault="00712F05" w:rsidP="000C254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A3749" w:rsidRPr="00810726">
        <w:rPr>
          <w:rFonts w:ascii="Times New Roman" w:hAnsi="Times New Roman" w:cs="Times New Roman"/>
          <w:sz w:val="28"/>
          <w:szCs w:val="28"/>
        </w:rPr>
        <w:t xml:space="preserve"> Із запланованих 16 населених пунктів заходи вдалося виконати тільки по 3, в зв’язку із несвоєчасним виготовленням кошторисної документації і не проходженням платежі</w:t>
      </w:r>
      <w:proofErr w:type="gramStart"/>
      <w:r w:rsidR="005A3749" w:rsidRPr="00810726">
        <w:rPr>
          <w:rFonts w:ascii="Times New Roman" w:hAnsi="Times New Roman" w:cs="Times New Roman"/>
          <w:sz w:val="28"/>
          <w:szCs w:val="28"/>
        </w:rPr>
        <w:t>в</w:t>
      </w:r>
      <w:proofErr w:type="gramEnd"/>
      <w:r w:rsidR="005A3749" w:rsidRPr="00810726">
        <w:rPr>
          <w:rFonts w:ascii="Times New Roman" w:hAnsi="Times New Roman" w:cs="Times New Roman"/>
          <w:sz w:val="28"/>
          <w:szCs w:val="28"/>
        </w:rPr>
        <w:t xml:space="preserve"> через установу Держказначейства. </w:t>
      </w:r>
    </w:p>
    <w:p w:rsidR="005A3749" w:rsidRPr="00810726" w:rsidRDefault="00683B81" w:rsidP="000C2542">
      <w:pPr>
        <w:spacing w:before="240" w:line="240" w:lineRule="auto"/>
        <w:jc w:val="both"/>
        <w:rPr>
          <w:rFonts w:ascii="Times New Roman" w:hAnsi="Times New Roman" w:cs="Times New Roman"/>
          <w:b/>
          <w:sz w:val="28"/>
          <w:szCs w:val="28"/>
        </w:rPr>
      </w:pPr>
      <w:r>
        <w:rPr>
          <w:rFonts w:ascii="Times New Roman" w:hAnsi="Times New Roman" w:cs="Times New Roman"/>
          <w:sz w:val="28"/>
          <w:szCs w:val="28"/>
          <w:lang w:val="uk-UA"/>
        </w:rPr>
        <w:t xml:space="preserve">        </w:t>
      </w:r>
      <w:r w:rsidR="005A3749" w:rsidRPr="00810726">
        <w:rPr>
          <w:rFonts w:ascii="Times New Roman" w:hAnsi="Times New Roman" w:cs="Times New Roman"/>
          <w:sz w:val="28"/>
          <w:szCs w:val="28"/>
        </w:rPr>
        <w:t xml:space="preserve">  </w:t>
      </w:r>
      <w:r w:rsidR="007A2392">
        <w:rPr>
          <w:rFonts w:ascii="Times New Roman" w:hAnsi="Times New Roman" w:cs="Times New Roman"/>
          <w:b/>
          <w:sz w:val="28"/>
          <w:szCs w:val="28"/>
        </w:rPr>
        <w:t xml:space="preserve"> </w:t>
      </w:r>
      <w:r w:rsidR="007A2392">
        <w:rPr>
          <w:rFonts w:ascii="Times New Roman" w:hAnsi="Times New Roman" w:cs="Times New Roman"/>
          <w:b/>
          <w:sz w:val="28"/>
          <w:szCs w:val="28"/>
          <w:lang w:val="uk-UA"/>
        </w:rPr>
        <w:t>І</w:t>
      </w:r>
      <w:r w:rsidR="007A2392">
        <w:rPr>
          <w:rFonts w:ascii="Times New Roman" w:hAnsi="Times New Roman" w:cs="Times New Roman"/>
          <w:b/>
          <w:sz w:val="28"/>
          <w:szCs w:val="28"/>
        </w:rPr>
        <w:t>нвентаризаці</w:t>
      </w:r>
      <w:r w:rsidR="007A2392">
        <w:rPr>
          <w:rFonts w:ascii="Times New Roman" w:hAnsi="Times New Roman" w:cs="Times New Roman"/>
          <w:b/>
          <w:sz w:val="28"/>
          <w:szCs w:val="28"/>
          <w:lang w:val="uk-UA"/>
        </w:rPr>
        <w:t>я</w:t>
      </w:r>
      <w:r w:rsidR="005A3749" w:rsidRPr="00810726">
        <w:rPr>
          <w:rFonts w:ascii="Times New Roman" w:hAnsi="Times New Roman" w:cs="Times New Roman"/>
          <w:b/>
          <w:sz w:val="28"/>
          <w:szCs w:val="28"/>
        </w:rPr>
        <w:t xml:space="preserve"> об’єктів благоустрою населених пунктів.</w:t>
      </w:r>
    </w:p>
    <w:p w:rsidR="005A3749" w:rsidRPr="00810726" w:rsidRDefault="005A3749" w:rsidP="00683B81">
      <w:pPr>
        <w:spacing w:after="0" w:line="240" w:lineRule="auto"/>
        <w:jc w:val="both"/>
        <w:rPr>
          <w:rFonts w:ascii="Times New Roman" w:hAnsi="Times New Roman" w:cs="Times New Roman"/>
          <w:sz w:val="28"/>
          <w:szCs w:val="28"/>
        </w:rPr>
      </w:pPr>
      <w:r w:rsidRPr="00810726">
        <w:rPr>
          <w:rFonts w:ascii="Times New Roman" w:hAnsi="Times New Roman" w:cs="Times New Roman"/>
          <w:b/>
          <w:sz w:val="28"/>
          <w:szCs w:val="28"/>
        </w:rPr>
        <w:t xml:space="preserve">       </w:t>
      </w:r>
      <w:r w:rsidRPr="00810726">
        <w:rPr>
          <w:rFonts w:ascii="Times New Roman" w:hAnsi="Times New Roman" w:cs="Times New Roman"/>
          <w:sz w:val="28"/>
          <w:szCs w:val="28"/>
        </w:rPr>
        <w:t xml:space="preserve">Як у 2012 так і у 2013 роках сільськими і селищними радами проведено </w:t>
      </w:r>
      <w:proofErr w:type="gramStart"/>
      <w:r w:rsidRPr="00810726">
        <w:rPr>
          <w:rFonts w:ascii="Times New Roman" w:hAnsi="Times New Roman" w:cs="Times New Roman"/>
          <w:sz w:val="28"/>
          <w:szCs w:val="28"/>
        </w:rPr>
        <w:t>обл</w:t>
      </w:r>
      <w:proofErr w:type="gramEnd"/>
      <w:r w:rsidRPr="00810726">
        <w:rPr>
          <w:rFonts w:ascii="Times New Roman" w:hAnsi="Times New Roman" w:cs="Times New Roman"/>
          <w:sz w:val="28"/>
          <w:szCs w:val="28"/>
        </w:rPr>
        <w:t>ік об’єктів благоустрою на підпорядкованих територіях, але провести їх інвентаризацію не вдалося із-за відсутності коштів на вказані цілі.</w:t>
      </w:r>
    </w:p>
    <w:p w:rsidR="005A3749" w:rsidRPr="00810726" w:rsidRDefault="00683B81" w:rsidP="00683B81">
      <w:pPr>
        <w:pStyle w:val="21"/>
        <w:spacing w:after="0"/>
        <w:ind w:firstLine="0"/>
        <w:rPr>
          <w:b/>
          <w:szCs w:val="28"/>
        </w:rPr>
      </w:pPr>
      <w:r>
        <w:rPr>
          <w:szCs w:val="28"/>
        </w:rPr>
        <w:t xml:space="preserve">      </w:t>
      </w:r>
      <w:r w:rsidR="005A3749" w:rsidRPr="00810726">
        <w:rPr>
          <w:szCs w:val="28"/>
        </w:rPr>
        <w:t xml:space="preserve"> Розрахунки за спожитий природний газ та електричну енергію за 2012 та 2013 роки по установам, які фінансуються з районного бюджету  проведені в повному обсязі</w:t>
      </w:r>
      <w:r w:rsidR="005A3749" w:rsidRPr="00810726">
        <w:rPr>
          <w:b/>
          <w:szCs w:val="28"/>
        </w:rPr>
        <w:t>.</w:t>
      </w:r>
    </w:p>
    <w:p w:rsidR="005A3749" w:rsidRDefault="00426B75" w:rsidP="00683B81">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10. Транспорт.</w:t>
      </w:r>
    </w:p>
    <w:p w:rsidR="00426B75" w:rsidRPr="0053145D" w:rsidRDefault="00426B75" w:rsidP="00426B75">
      <w:pPr>
        <w:widowControl w:val="0"/>
        <w:tabs>
          <w:tab w:val="left" w:pos="-3402"/>
        </w:tabs>
        <w:spacing w:after="0"/>
        <w:ind w:firstLine="709"/>
        <w:jc w:val="both"/>
        <w:rPr>
          <w:rFonts w:ascii="Times New Roman" w:eastAsia="Times New Roman" w:hAnsi="Times New Roman" w:cs="Times New Roman"/>
          <w:sz w:val="28"/>
          <w:szCs w:val="28"/>
          <w:lang w:val="uk-UA"/>
        </w:rPr>
      </w:pPr>
      <w:r w:rsidRPr="0066200A">
        <w:rPr>
          <w:rFonts w:ascii="Times New Roman" w:eastAsia="Times New Roman" w:hAnsi="Times New Roman" w:cs="Times New Roman"/>
          <w:sz w:val="28"/>
          <w:szCs w:val="28"/>
        </w:rPr>
        <w:t xml:space="preserve">Протягом року в районі здійснювалися заходи, спрямовані на організацію </w:t>
      </w:r>
      <w:r w:rsidR="00FA138B">
        <w:rPr>
          <w:rFonts w:ascii="Times New Roman" w:eastAsia="Times New Roman" w:hAnsi="Times New Roman" w:cs="Times New Roman"/>
          <w:sz w:val="28"/>
          <w:szCs w:val="28"/>
        </w:rPr>
        <w:t>пасажирських перевезень</w:t>
      </w:r>
      <w:r w:rsidRPr="0066200A">
        <w:rPr>
          <w:rFonts w:ascii="Times New Roman" w:eastAsia="Times New Roman" w:hAnsi="Times New Roman" w:cs="Times New Roman"/>
          <w:sz w:val="28"/>
          <w:szCs w:val="28"/>
        </w:rPr>
        <w:t>, забезпечення належної якості обслуговування пасажирів на приміських ма</w:t>
      </w:r>
      <w:r>
        <w:rPr>
          <w:rFonts w:ascii="Times New Roman" w:hAnsi="Times New Roman" w:cs="Times New Roman"/>
          <w:sz w:val="28"/>
          <w:szCs w:val="28"/>
        </w:rPr>
        <w:t>ршрутах загального користування</w:t>
      </w:r>
      <w:r>
        <w:rPr>
          <w:rFonts w:ascii="Times New Roman" w:hAnsi="Times New Roman" w:cs="Times New Roman"/>
          <w:sz w:val="28"/>
          <w:szCs w:val="28"/>
          <w:lang w:val="uk-UA"/>
        </w:rPr>
        <w:t xml:space="preserve">, що не виходять </w:t>
      </w:r>
      <w:proofErr w:type="gramStart"/>
      <w:r>
        <w:rPr>
          <w:rFonts w:ascii="Times New Roman" w:hAnsi="Times New Roman" w:cs="Times New Roman"/>
          <w:sz w:val="28"/>
          <w:szCs w:val="28"/>
          <w:lang w:val="uk-UA"/>
        </w:rPr>
        <w:t>за</w:t>
      </w:r>
      <w:proofErr w:type="gramEnd"/>
      <w:r>
        <w:rPr>
          <w:rFonts w:ascii="Times New Roman" w:hAnsi="Times New Roman" w:cs="Times New Roman"/>
          <w:sz w:val="28"/>
          <w:szCs w:val="28"/>
          <w:lang w:val="uk-UA"/>
        </w:rPr>
        <w:t xml:space="preserve"> межі території району. </w:t>
      </w:r>
    </w:p>
    <w:p w:rsidR="00426B75" w:rsidRPr="0066200A" w:rsidRDefault="00426B75" w:rsidP="00426B75">
      <w:pPr>
        <w:spacing w:after="0"/>
        <w:ind w:firstLine="709"/>
        <w:jc w:val="both"/>
        <w:rPr>
          <w:rFonts w:ascii="Times New Roman" w:eastAsia="Times New Roman" w:hAnsi="Times New Roman" w:cs="Times New Roman"/>
          <w:sz w:val="28"/>
          <w:szCs w:val="28"/>
        </w:rPr>
      </w:pPr>
      <w:r w:rsidRPr="0066200A">
        <w:rPr>
          <w:rFonts w:ascii="Times New Roman" w:eastAsia="Times New Roman" w:hAnsi="Times New Roman" w:cs="Times New Roman"/>
          <w:sz w:val="28"/>
          <w:szCs w:val="28"/>
        </w:rPr>
        <w:t>Протягом січня-грудня 2013 року пасажирським транспортом скористалося 122.1 тис</w:t>
      </w:r>
      <w:proofErr w:type="gramStart"/>
      <w:r w:rsidRPr="0066200A">
        <w:rPr>
          <w:rFonts w:ascii="Times New Roman" w:eastAsia="Times New Roman" w:hAnsi="Times New Roman" w:cs="Times New Roman"/>
          <w:sz w:val="28"/>
          <w:szCs w:val="28"/>
        </w:rPr>
        <w:t>.</w:t>
      </w:r>
      <w:proofErr w:type="gramEnd"/>
      <w:r w:rsidRPr="0066200A">
        <w:rPr>
          <w:rFonts w:ascii="Times New Roman" w:eastAsia="Times New Roman" w:hAnsi="Times New Roman" w:cs="Times New Roman"/>
          <w:sz w:val="28"/>
          <w:szCs w:val="28"/>
        </w:rPr>
        <w:t> </w:t>
      </w:r>
      <w:proofErr w:type="gramStart"/>
      <w:r w:rsidRPr="0066200A">
        <w:rPr>
          <w:rFonts w:ascii="Times New Roman" w:eastAsia="Times New Roman" w:hAnsi="Times New Roman" w:cs="Times New Roman"/>
          <w:sz w:val="28"/>
          <w:szCs w:val="28"/>
        </w:rPr>
        <w:t>п</w:t>
      </w:r>
      <w:proofErr w:type="gramEnd"/>
      <w:r w:rsidRPr="0066200A">
        <w:rPr>
          <w:rFonts w:ascii="Times New Roman" w:eastAsia="Times New Roman" w:hAnsi="Times New Roman" w:cs="Times New Roman"/>
          <w:sz w:val="28"/>
          <w:szCs w:val="28"/>
        </w:rPr>
        <w:t xml:space="preserve">асажирів, що на </w:t>
      </w:r>
      <w:r>
        <w:rPr>
          <w:rFonts w:ascii="Times New Roman" w:hAnsi="Times New Roman" w:cs="Times New Roman"/>
          <w:sz w:val="28"/>
          <w:szCs w:val="28"/>
        </w:rPr>
        <w:t>2.4% менше, ніж у 2012 році</w:t>
      </w:r>
      <w:r>
        <w:rPr>
          <w:rFonts w:ascii="Times New Roman" w:hAnsi="Times New Roman" w:cs="Times New Roman"/>
          <w:sz w:val="28"/>
          <w:szCs w:val="28"/>
          <w:lang w:val="uk-UA"/>
        </w:rPr>
        <w:t xml:space="preserve"> (11 місце серед районів області), </w:t>
      </w:r>
      <w:r w:rsidRPr="0066200A">
        <w:rPr>
          <w:rFonts w:ascii="Times New Roman" w:eastAsia="Times New Roman" w:hAnsi="Times New Roman" w:cs="Times New Roman"/>
          <w:sz w:val="28"/>
          <w:szCs w:val="28"/>
        </w:rPr>
        <w:t xml:space="preserve">пасажирооборот збільшився на 0.5 відсотки.  </w:t>
      </w:r>
    </w:p>
    <w:p w:rsidR="00426B75" w:rsidRPr="00722F0E" w:rsidRDefault="00426B75" w:rsidP="00426B75">
      <w:pPr>
        <w:tabs>
          <w:tab w:val="num" w:pos="720"/>
        </w:tabs>
        <w:spacing w:after="0"/>
        <w:ind w:firstLine="709"/>
        <w:jc w:val="both"/>
        <w:rPr>
          <w:rFonts w:ascii="Times New Roman" w:eastAsia="Times New Roman" w:hAnsi="Times New Roman" w:cs="Times New Roman"/>
          <w:spacing w:val="-2"/>
          <w:sz w:val="28"/>
          <w:szCs w:val="28"/>
          <w:lang w:val="uk-UA"/>
        </w:rPr>
      </w:pPr>
      <w:r w:rsidRPr="0066200A">
        <w:rPr>
          <w:rFonts w:ascii="Times New Roman" w:eastAsia="Times New Roman" w:hAnsi="Times New Roman" w:cs="Times New Roman"/>
          <w:spacing w:val="-2"/>
          <w:sz w:val="28"/>
          <w:szCs w:val="28"/>
        </w:rPr>
        <w:t xml:space="preserve">Автомобільним транспортом за січень </w:t>
      </w:r>
      <w:proofErr w:type="gramStart"/>
      <w:r w:rsidRPr="0066200A">
        <w:rPr>
          <w:rFonts w:ascii="Times New Roman" w:eastAsia="Times New Roman" w:hAnsi="Times New Roman" w:cs="Times New Roman"/>
          <w:spacing w:val="-2"/>
          <w:sz w:val="28"/>
          <w:szCs w:val="28"/>
        </w:rPr>
        <w:t>–г</w:t>
      </w:r>
      <w:proofErr w:type="gramEnd"/>
      <w:r w:rsidRPr="0066200A">
        <w:rPr>
          <w:rFonts w:ascii="Times New Roman" w:eastAsia="Times New Roman" w:hAnsi="Times New Roman" w:cs="Times New Roman"/>
          <w:spacing w:val="-2"/>
          <w:sz w:val="28"/>
          <w:szCs w:val="28"/>
        </w:rPr>
        <w:t xml:space="preserve">рудень 2013 року перевезено 30.7 тис. тонн вантажів, що становить 52.8% обсягів перевезень аналогічного </w:t>
      </w:r>
      <w:r w:rsidRPr="0066200A">
        <w:rPr>
          <w:rFonts w:ascii="Times New Roman" w:eastAsia="Times New Roman" w:hAnsi="Times New Roman" w:cs="Times New Roman"/>
          <w:spacing w:val="-2"/>
          <w:sz w:val="28"/>
          <w:szCs w:val="28"/>
        </w:rPr>
        <w:lastRenderedPageBreak/>
        <w:t xml:space="preserve">періоду 2012 року, вантажооборот зменшився на 41.1%. </w:t>
      </w:r>
      <w:r>
        <w:rPr>
          <w:rFonts w:ascii="Times New Roman" w:hAnsi="Times New Roman" w:cs="Times New Roman"/>
          <w:spacing w:val="-2"/>
          <w:sz w:val="28"/>
          <w:szCs w:val="28"/>
          <w:lang w:val="uk-UA"/>
        </w:rPr>
        <w:t xml:space="preserve">Обсяги перевезених вантажів автомобільним транспортом по району займають 7 місце серед інших районів області.   </w:t>
      </w:r>
    </w:p>
    <w:p w:rsidR="00426B75" w:rsidRDefault="00426B75" w:rsidP="00426B75">
      <w:pPr>
        <w:widowControl w:val="0"/>
        <w:tabs>
          <w:tab w:val="left" w:pos="-3402"/>
        </w:tabs>
        <w:spacing w:after="0"/>
        <w:ind w:firstLine="709"/>
        <w:jc w:val="both"/>
        <w:rPr>
          <w:rFonts w:ascii="Times New Roman" w:hAnsi="Times New Roman" w:cs="Times New Roman"/>
          <w:sz w:val="28"/>
          <w:szCs w:val="28"/>
          <w:lang w:val="uk-UA"/>
        </w:rPr>
      </w:pPr>
      <w:r w:rsidRPr="00055FE2">
        <w:rPr>
          <w:rFonts w:ascii="Times New Roman" w:eastAsia="Times New Roman" w:hAnsi="Times New Roman" w:cs="Times New Roman"/>
          <w:sz w:val="28"/>
          <w:szCs w:val="28"/>
          <w:lang w:val="uk-UA"/>
        </w:rPr>
        <w:t>Разом з цим, залишається ряд проблемних питань розвитку галузі, зокрема, незадовільний рівень відшкодування втрат перевізників від перевезення пільгових категорій населення в галузі пасажирських перевезень автомобільним транспортом</w:t>
      </w:r>
      <w:r>
        <w:rPr>
          <w:rFonts w:ascii="Times New Roman" w:hAnsi="Times New Roman" w:cs="Times New Roman"/>
          <w:sz w:val="28"/>
          <w:szCs w:val="28"/>
          <w:lang w:val="uk-UA"/>
        </w:rPr>
        <w:t xml:space="preserve">, відсутність претендентів-перевізників на обслуговування приміських (внутрішньорайонних) маршрутів відповідно до потреби.  </w:t>
      </w:r>
    </w:p>
    <w:p w:rsidR="00426B75" w:rsidRPr="00024718" w:rsidRDefault="00426B75" w:rsidP="00426B75">
      <w:pPr>
        <w:spacing w:after="0"/>
        <w:ind w:firstLine="709"/>
        <w:jc w:val="both"/>
        <w:rPr>
          <w:rFonts w:ascii="Times New Roman" w:hAnsi="Times New Roman" w:cs="Times New Roman"/>
          <w:spacing w:val="-2"/>
          <w:sz w:val="28"/>
          <w:szCs w:val="28"/>
          <w:lang w:val="uk-UA"/>
        </w:rPr>
      </w:pPr>
      <w:r>
        <w:rPr>
          <w:rFonts w:ascii="Times New Roman" w:hAnsi="Times New Roman" w:cs="Times New Roman"/>
          <w:sz w:val="28"/>
          <w:szCs w:val="28"/>
          <w:lang w:val="uk-UA"/>
        </w:rPr>
        <w:t>У 2013 році п</w:t>
      </w:r>
      <w:r w:rsidRPr="00024718">
        <w:rPr>
          <w:rFonts w:ascii="Times New Roman" w:hAnsi="Times New Roman" w:cs="Times New Roman"/>
          <w:sz w:val="28"/>
          <w:szCs w:val="28"/>
          <w:lang w:val="uk-UA"/>
        </w:rPr>
        <w:t>отреби населення району у послугах транспорту забезпечують 2 при</w:t>
      </w:r>
      <w:r w:rsidR="00FA138B">
        <w:rPr>
          <w:rFonts w:ascii="Times New Roman" w:hAnsi="Times New Roman" w:cs="Times New Roman"/>
          <w:sz w:val="28"/>
          <w:szCs w:val="28"/>
          <w:lang w:val="uk-UA"/>
        </w:rPr>
        <w:t xml:space="preserve">ватні підприємці-перевізники </w:t>
      </w:r>
      <w:r w:rsidRPr="00024718">
        <w:rPr>
          <w:rFonts w:ascii="Times New Roman" w:hAnsi="Times New Roman" w:cs="Times New Roman"/>
          <w:sz w:val="28"/>
          <w:szCs w:val="28"/>
          <w:lang w:val="uk-UA"/>
        </w:rPr>
        <w:t xml:space="preserve"> Юрченко Ю.І. та Олексенко Н.В. Згідно розкладу руху по автостанції Недригайлів у приміському сполученні приватними перевізниками майже щоденно виконується</w:t>
      </w:r>
      <w:r w:rsidR="00FA138B">
        <w:rPr>
          <w:rFonts w:ascii="Times New Roman" w:hAnsi="Times New Roman" w:cs="Times New Roman"/>
          <w:sz w:val="28"/>
          <w:szCs w:val="28"/>
          <w:lang w:val="uk-UA"/>
        </w:rPr>
        <w:t xml:space="preserve"> </w:t>
      </w:r>
      <w:r w:rsidRPr="00024718">
        <w:rPr>
          <w:rFonts w:ascii="Times New Roman" w:hAnsi="Times New Roman" w:cs="Times New Roman"/>
          <w:sz w:val="28"/>
          <w:szCs w:val="28"/>
          <w:lang w:val="uk-UA"/>
        </w:rPr>
        <w:t xml:space="preserve"> 22 маршрути загального користування. </w:t>
      </w:r>
      <w:r>
        <w:rPr>
          <w:rFonts w:ascii="Times New Roman" w:hAnsi="Times New Roman" w:cs="Times New Roman"/>
          <w:sz w:val="28"/>
          <w:szCs w:val="28"/>
          <w:lang w:val="uk-UA"/>
        </w:rPr>
        <w:t xml:space="preserve"> </w:t>
      </w:r>
    </w:p>
    <w:p w:rsidR="00426B75" w:rsidRDefault="00426B75" w:rsidP="00426B75">
      <w:pPr>
        <w:widowControl w:val="0"/>
        <w:tabs>
          <w:tab w:val="left" w:pos="-3402"/>
        </w:tabs>
        <w:spacing w:after="0"/>
        <w:ind w:firstLine="709"/>
        <w:jc w:val="both"/>
        <w:rPr>
          <w:rFonts w:ascii="Times New Roman" w:hAnsi="Times New Roman" w:cs="Times New Roman"/>
          <w:spacing w:val="-2"/>
          <w:sz w:val="28"/>
          <w:szCs w:val="28"/>
          <w:lang w:val="uk-UA"/>
        </w:rPr>
      </w:pPr>
      <w:r w:rsidRPr="00024718">
        <w:rPr>
          <w:rFonts w:ascii="Times New Roman" w:hAnsi="Times New Roman" w:cs="Times New Roman"/>
          <w:sz w:val="28"/>
          <w:szCs w:val="28"/>
          <w:lang w:val="uk-UA"/>
        </w:rPr>
        <w:t>Райдержадміністрацією проводяться заходи з організації пасажирських перевезень на приміських маршрутах, що не виходять за межі території району та проводиться робота щодо охоплення транспортною мережею всіх населених пунктів ра</w:t>
      </w:r>
      <w:r w:rsidR="00FA138B">
        <w:rPr>
          <w:rFonts w:ascii="Times New Roman" w:hAnsi="Times New Roman" w:cs="Times New Roman"/>
          <w:sz w:val="28"/>
          <w:szCs w:val="28"/>
          <w:lang w:val="uk-UA"/>
        </w:rPr>
        <w:t>йону стан дорожнього покриття  який</w:t>
      </w:r>
      <w:r w:rsidRPr="00024718">
        <w:rPr>
          <w:rFonts w:ascii="Times New Roman" w:hAnsi="Times New Roman" w:cs="Times New Roman"/>
          <w:sz w:val="28"/>
          <w:szCs w:val="28"/>
          <w:lang w:val="uk-UA"/>
        </w:rPr>
        <w:t xml:space="preserve"> відповідає вимогам безпеки пасажирських  перевезень. Про це свідчать ряд вирішених питань стосовно відкриття та відновлення маршрутів, введення додаткових рейсів, відновлення заїзду, погодження графіків руху маршрутів, заміна транспортного засобу на автобус більшої місткості, погодження безкоштовного проїзду.</w:t>
      </w:r>
    </w:p>
    <w:p w:rsidR="00426B75" w:rsidRPr="0016516C" w:rsidRDefault="00426B75" w:rsidP="00426B75">
      <w:pPr>
        <w:widowControl w:val="0"/>
        <w:tabs>
          <w:tab w:val="left" w:pos="-3402"/>
        </w:tabs>
        <w:spacing w:after="0"/>
        <w:ind w:firstLine="709"/>
        <w:jc w:val="both"/>
        <w:rPr>
          <w:rFonts w:ascii="Times New Roman" w:eastAsia="Times New Roman" w:hAnsi="Times New Roman" w:cs="Times New Roman"/>
          <w:sz w:val="28"/>
          <w:szCs w:val="28"/>
          <w:lang w:val="uk-UA"/>
        </w:rPr>
      </w:pPr>
      <w:r w:rsidRPr="0066200A">
        <w:rPr>
          <w:rFonts w:ascii="Times New Roman" w:eastAsia="Times New Roman" w:hAnsi="Times New Roman" w:cs="Times New Roman"/>
          <w:spacing w:val="-2"/>
          <w:sz w:val="28"/>
          <w:szCs w:val="28"/>
        </w:rPr>
        <w:t xml:space="preserve">Для забезпечення у 2014 році повного, безпечного та якісного задоволення потреб населення району в послугах автомобільного </w:t>
      </w:r>
      <w:r w:rsidRPr="0066200A">
        <w:rPr>
          <w:rFonts w:ascii="Times New Roman" w:eastAsia="Times New Roman" w:hAnsi="Times New Roman" w:cs="Times New Roman"/>
          <w:sz w:val="28"/>
          <w:szCs w:val="28"/>
        </w:rPr>
        <w:t>транспорту визначено завдання по забезпеченню належної якості обслуговування пасажирів та недопущенню скорочення кількості приміських (внутрішньорайонних) маршруті</w:t>
      </w:r>
      <w:proofErr w:type="gramStart"/>
      <w:r w:rsidRPr="0066200A">
        <w:rPr>
          <w:rFonts w:ascii="Times New Roman" w:eastAsia="Times New Roman" w:hAnsi="Times New Roman" w:cs="Times New Roman"/>
          <w:sz w:val="28"/>
          <w:szCs w:val="28"/>
        </w:rPr>
        <w:t>в</w:t>
      </w:r>
      <w:proofErr w:type="gramEnd"/>
      <w:r w:rsidRPr="0066200A">
        <w:rPr>
          <w:rFonts w:ascii="Times New Roman" w:eastAsia="Times New Roman" w:hAnsi="Times New Roman" w:cs="Times New Roman"/>
          <w:sz w:val="28"/>
          <w:szCs w:val="28"/>
        </w:rPr>
        <w:t>.</w:t>
      </w:r>
      <w:r>
        <w:rPr>
          <w:rFonts w:ascii="Times New Roman" w:hAnsi="Times New Roman" w:cs="Times New Roman"/>
          <w:sz w:val="28"/>
          <w:szCs w:val="28"/>
          <w:lang w:val="uk-UA"/>
        </w:rPr>
        <w:t xml:space="preserve">             </w:t>
      </w:r>
    </w:p>
    <w:p w:rsidR="00426B75" w:rsidRPr="00426B75" w:rsidRDefault="00426B75" w:rsidP="00426B75">
      <w:pPr>
        <w:pStyle w:val="a9"/>
        <w:widowControl w:val="0"/>
        <w:tabs>
          <w:tab w:val="left" w:pos="-3402"/>
          <w:tab w:val="left" w:pos="5940"/>
        </w:tabs>
        <w:jc w:val="center"/>
        <w:rPr>
          <w:rFonts w:ascii="Times New Roman" w:hAnsi="Times New Roman"/>
          <w:b/>
          <w:sz w:val="28"/>
          <w:szCs w:val="28"/>
          <w:lang w:val="uk-UA"/>
        </w:rPr>
      </w:pPr>
      <w:r w:rsidRPr="00426B75">
        <w:rPr>
          <w:rFonts w:ascii="Times New Roman" w:hAnsi="Times New Roman"/>
          <w:b/>
          <w:sz w:val="28"/>
          <w:szCs w:val="28"/>
          <w:lang w:val="uk-UA"/>
        </w:rPr>
        <w:t>Кількісні та якісні критерії ефективності реалізації завдань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418"/>
        <w:gridCol w:w="1702"/>
        <w:gridCol w:w="1807"/>
      </w:tblGrid>
      <w:tr w:rsidR="00426B75" w:rsidRPr="00343395" w:rsidTr="002E33E0">
        <w:trPr>
          <w:tblHeader/>
          <w:jc w:val="center"/>
        </w:trPr>
        <w:tc>
          <w:tcPr>
            <w:tcW w:w="2426"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pStyle w:val="21"/>
              <w:widowControl w:val="0"/>
              <w:tabs>
                <w:tab w:val="left" w:pos="-3402"/>
              </w:tabs>
              <w:spacing w:after="0"/>
              <w:jc w:val="center"/>
              <w:rPr>
                <w:b/>
                <w:sz w:val="24"/>
              </w:rPr>
            </w:pPr>
            <w:r w:rsidRPr="00343395">
              <w:rPr>
                <w:b/>
                <w:sz w:val="24"/>
              </w:rPr>
              <w:t>Показники</w:t>
            </w:r>
          </w:p>
        </w:tc>
        <w:tc>
          <w:tcPr>
            <w:tcW w:w="741"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2E33E0">
            <w:pPr>
              <w:pStyle w:val="21"/>
              <w:widowControl w:val="0"/>
              <w:tabs>
                <w:tab w:val="left" w:pos="-3402"/>
              </w:tabs>
              <w:spacing w:after="0"/>
              <w:ind w:firstLine="0"/>
              <w:rPr>
                <w:b/>
                <w:sz w:val="24"/>
              </w:rPr>
            </w:pPr>
            <w:r w:rsidRPr="00343395">
              <w:rPr>
                <w:b/>
                <w:sz w:val="24"/>
              </w:rPr>
              <w:t>2012 рік</w:t>
            </w:r>
          </w:p>
          <w:p w:rsidR="00426B75" w:rsidRPr="00343395" w:rsidRDefault="00426B75" w:rsidP="002E33E0">
            <w:pPr>
              <w:pStyle w:val="21"/>
              <w:widowControl w:val="0"/>
              <w:tabs>
                <w:tab w:val="left" w:pos="-3402"/>
              </w:tabs>
              <w:spacing w:after="0"/>
              <w:ind w:firstLine="0"/>
              <w:rPr>
                <w:b/>
                <w:sz w:val="24"/>
              </w:rPr>
            </w:pPr>
            <w:r w:rsidRPr="00343395">
              <w:rPr>
                <w:b/>
                <w:sz w:val="24"/>
              </w:rPr>
              <w:t>факт</w:t>
            </w:r>
          </w:p>
        </w:tc>
        <w:tc>
          <w:tcPr>
            <w:tcW w:w="889"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2E33E0">
            <w:pPr>
              <w:pStyle w:val="21"/>
              <w:widowControl w:val="0"/>
              <w:tabs>
                <w:tab w:val="left" w:pos="-3402"/>
              </w:tabs>
              <w:spacing w:after="0"/>
              <w:ind w:firstLine="0"/>
              <w:rPr>
                <w:b/>
                <w:sz w:val="24"/>
              </w:rPr>
            </w:pPr>
            <w:r w:rsidRPr="00343395">
              <w:rPr>
                <w:b/>
                <w:sz w:val="24"/>
              </w:rPr>
              <w:t>2013 рік</w:t>
            </w:r>
          </w:p>
          <w:p w:rsidR="00426B75" w:rsidRPr="00343395" w:rsidRDefault="00426B75" w:rsidP="002E33E0">
            <w:pPr>
              <w:pStyle w:val="21"/>
              <w:widowControl w:val="0"/>
              <w:tabs>
                <w:tab w:val="left" w:pos="-3402"/>
              </w:tabs>
              <w:spacing w:after="0"/>
              <w:ind w:firstLine="0"/>
              <w:rPr>
                <w:b/>
                <w:sz w:val="24"/>
              </w:rPr>
            </w:pPr>
            <w:r w:rsidRPr="00343395">
              <w:rPr>
                <w:b/>
                <w:sz w:val="24"/>
              </w:rPr>
              <w:t xml:space="preserve">факт </w:t>
            </w:r>
          </w:p>
        </w:tc>
        <w:tc>
          <w:tcPr>
            <w:tcW w:w="945"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pStyle w:val="21"/>
              <w:widowControl w:val="0"/>
              <w:tabs>
                <w:tab w:val="left" w:pos="-3402"/>
              </w:tabs>
              <w:spacing w:after="0"/>
              <w:jc w:val="center"/>
              <w:rPr>
                <w:b/>
                <w:sz w:val="24"/>
              </w:rPr>
            </w:pPr>
            <w:r w:rsidRPr="00343395">
              <w:rPr>
                <w:b/>
                <w:sz w:val="24"/>
              </w:rPr>
              <w:t>2014 рік</w:t>
            </w:r>
          </w:p>
          <w:p w:rsidR="00426B75" w:rsidRPr="00343395" w:rsidRDefault="00426B75" w:rsidP="00FC48A4">
            <w:pPr>
              <w:pStyle w:val="21"/>
              <w:widowControl w:val="0"/>
              <w:tabs>
                <w:tab w:val="left" w:pos="-3402"/>
              </w:tabs>
              <w:spacing w:after="0"/>
              <w:jc w:val="center"/>
              <w:rPr>
                <w:b/>
                <w:sz w:val="24"/>
              </w:rPr>
            </w:pPr>
            <w:r w:rsidRPr="00343395">
              <w:rPr>
                <w:b/>
                <w:sz w:val="24"/>
              </w:rPr>
              <w:t>прогноз</w:t>
            </w:r>
          </w:p>
        </w:tc>
      </w:tr>
      <w:tr w:rsidR="00426B75" w:rsidRPr="00343395" w:rsidTr="002E33E0">
        <w:trPr>
          <w:trHeight w:val="654"/>
          <w:jc w:val="center"/>
        </w:trPr>
        <w:tc>
          <w:tcPr>
            <w:tcW w:w="2426"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widowControl w:val="0"/>
              <w:tabs>
                <w:tab w:val="left" w:pos="-3402"/>
              </w:tabs>
              <w:spacing w:after="0" w:line="240" w:lineRule="auto"/>
              <w:rPr>
                <w:rFonts w:ascii="Times New Roman" w:eastAsia="Times New Roman" w:hAnsi="Times New Roman" w:cs="Times New Roman"/>
                <w:sz w:val="24"/>
                <w:szCs w:val="24"/>
              </w:rPr>
            </w:pPr>
            <w:r w:rsidRPr="00343395">
              <w:rPr>
                <w:rFonts w:ascii="Times New Roman" w:eastAsia="Times New Roman" w:hAnsi="Times New Roman" w:cs="Times New Roman"/>
                <w:sz w:val="24"/>
                <w:szCs w:val="24"/>
              </w:rPr>
              <w:t>Темп росту обсягів перевезень вантажів, автомобільним транспортом,%</w:t>
            </w:r>
          </w:p>
        </w:tc>
        <w:tc>
          <w:tcPr>
            <w:tcW w:w="741"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widowControl w:val="0"/>
              <w:tabs>
                <w:tab w:val="left" w:pos="-3402"/>
              </w:tabs>
              <w:spacing w:after="0" w:line="240" w:lineRule="auto"/>
              <w:jc w:val="center"/>
              <w:rPr>
                <w:rFonts w:ascii="Times New Roman" w:eastAsia="Times New Roman" w:hAnsi="Times New Roman" w:cs="Times New Roman"/>
                <w:sz w:val="24"/>
                <w:szCs w:val="24"/>
              </w:rPr>
            </w:pPr>
            <w:r w:rsidRPr="00343395">
              <w:rPr>
                <w:rFonts w:ascii="Times New Roman" w:eastAsia="Times New Roman" w:hAnsi="Times New Roman" w:cs="Times New Roman"/>
                <w:sz w:val="24"/>
                <w:szCs w:val="24"/>
              </w:rPr>
              <w:t>160,9</w:t>
            </w:r>
          </w:p>
        </w:tc>
        <w:tc>
          <w:tcPr>
            <w:tcW w:w="889"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widowControl w:val="0"/>
              <w:tabs>
                <w:tab w:val="left" w:pos="-3402"/>
              </w:tabs>
              <w:spacing w:after="0" w:line="240" w:lineRule="auto"/>
              <w:jc w:val="center"/>
              <w:rPr>
                <w:rFonts w:ascii="Times New Roman" w:eastAsia="Times New Roman" w:hAnsi="Times New Roman" w:cs="Times New Roman"/>
                <w:sz w:val="24"/>
                <w:szCs w:val="24"/>
              </w:rPr>
            </w:pPr>
            <w:r w:rsidRPr="00343395">
              <w:rPr>
                <w:rFonts w:ascii="Times New Roman" w:eastAsia="Times New Roman" w:hAnsi="Times New Roman" w:cs="Times New Roman"/>
                <w:sz w:val="24"/>
                <w:szCs w:val="24"/>
              </w:rPr>
              <w:t>52.8</w:t>
            </w:r>
          </w:p>
        </w:tc>
        <w:tc>
          <w:tcPr>
            <w:tcW w:w="945"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widowControl w:val="0"/>
              <w:tabs>
                <w:tab w:val="left" w:pos="-3402"/>
              </w:tabs>
              <w:spacing w:after="0" w:line="240" w:lineRule="auto"/>
              <w:jc w:val="center"/>
              <w:rPr>
                <w:rFonts w:ascii="Times New Roman" w:eastAsia="Times New Roman" w:hAnsi="Times New Roman" w:cs="Times New Roman"/>
                <w:sz w:val="24"/>
                <w:szCs w:val="24"/>
              </w:rPr>
            </w:pPr>
            <w:r w:rsidRPr="00343395">
              <w:rPr>
                <w:rFonts w:ascii="Times New Roman" w:eastAsia="Times New Roman" w:hAnsi="Times New Roman" w:cs="Times New Roman"/>
                <w:sz w:val="24"/>
                <w:szCs w:val="24"/>
              </w:rPr>
              <w:t>100</w:t>
            </w:r>
          </w:p>
        </w:tc>
      </w:tr>
      <w:tr w:rsidR="00426B75" w:rsidRPr="00343395" w:rsidTr="002E33E0">
        <w:trPr>
          <w:jc w:val="center"/>
        </w:trPr>
        <w:tc>
          <w:tcPr>
            <w:tcW w:w="2426"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widowControl w:val="0"/>
              <w:tabs>
                <w:tab w:val="left" w:pos="-3402"/>
              </w:tabs>
              <w:spacing w:after="0" w:line="240" w:lineRule="auto"/>
              <w:rPr>
                <w:rFonts w:ascii="Times New Roman" w:eastAsia="Times New Roman" w:hAnsi="Times New Roman" w:cs="Times New Roman"/>
                <w:sz w:val="24"/>
                <w:szCs w:val="24"/>
              </w:rPr>
            </w:pPr>
            <w:r w:rsidRPr="00343395">
              <w:rPr>
                <w:rFonts w:ascii="Times New Roman" w:eastAsia="Times New Roman" w:hAnsi="Times New Roman" w:cs="Times New Roman"/>
                <w:sz w:val="24"/>
                <w:szCs w:val="24"/>
              </w:rPr>
              <w:t>Темп росту (скорочення) обсягів перевезень пасажирів, автомобільним транспортом,%</w:t>
            </w:r>
          </w:p>
        </w:tc>
        <w:tc>
          <w:tcPr>
            <w:tcW w:w="741"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widowControl w:val="0"/>
              <w:tabs>
                <w:tab w:val="left" w:pos="-3402"/>
              </w:tabs>
              <w:spacing w:after="0" w:line="240" w:lineRule="auto"/>
              <w:jc w:val="center"/>
              <w:rPr>
                <w:rFonts w:ascii="Times New Roman" w:eastAsia="Times New Roman" w:hAnsi="Times New Roman" w:cs="Times New Roman"/>
                <w:sz w:val="24"/>
                <w:szCs w:val="24"/>
              </w:rPr>
            </w:pPr>
            <w:r w:rsidRPr="00343395">
              <w:rPr>
                <w:rFonts w:ascii="Times New Roman" w:eastAsia="Times New Roman" w:hAnsi="Times New Roman" w:cs="Times New Roman"/>
                <w:sz w:val="24"/>
                <w:szCs w:val="24"/>
              </w:rPr>
              <w:t>78,4</w:t>
            </w:r>
          </w:p>
        </w:tc>
        <w:tc>
          <w:tcPr>
            <w:tcW w:w="889"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widowControl w:val="0"/>
              <w:tabs>
                <w:tab w:val="left" w:pos="-3402"/>
              </w:tabs>
              <w:spacing w:after="0" w:line="240" w:lineRule="auto"/>
              <w:jc w:val="center"/>
              <w:rPr>
                <w:rFonts w:ascii="Times New Roman" w:eastAsia="Times New Roman" w:hAnsi="Times New Roman" w:cs="Times New Roman"/>
                <w:sz w:val="24"/>
                <w:szCs w:val="24"/>
              </w:rPr>
            </w:pPr>
            <w:r w:rsidRPr="00343395">
              <w:rPr>
                <w:rFonts w:ascii="Times New Roman" w:eastAsia="Times New Roman" w:hAnsi="Times New Roman" w:cs="Times New Roman"/>
                <w:sz w:val="24"/>
                <w:szCs w:val="24"/>
              </w:rPr>
              <w:t>97.6</w:t>
            </w:r>
          </w:p>
        </w:tc>
        <w:tc>
          <w:tcPr>
            <w:tcW w:w="945" w:type="pct"/>
            <w:tcBorders>
              <w:top w:val="single" w:sz="4" w:space="0" w:color="auto"/>
              <w:left w:val="single" w:sz="4" w:space="0" w:color="auto"/>
              <w:bottom w:val="single" w:sz="4" w:space="0" w:color="auto"/>
              <w:right w:val="single" w:sz="4" w:space="0" w:color="auto"/>
            </w:tcBorders>
            <w:vAlign w:val="center"/>
          </w:tcPr>
          <w:p w:rsidR="00426B75" w:rsidRPr="00343395" w:rsidRDefault="00426B75" w:rsidP="00FC48A4">
            <w:pPr>
              <w:widowControl w:val="0"/>
              <w:tabs>
                <w:tab w:val="left" w:pos="-3402"/>
              </w:tabs>
              <w:spacing w:after="0" w:line="240" w:lineRule="auto"/>
              <w:jc w:val="center"/>
              <w:rPr>
                <w:rFonts w:ascii="Times New Roman" w:eastAsia="Times New Roman" w:hAnsi="Times New Roman" w:cs="Times New Roman"/>
                <w:sz w:val="24"/>
                <w:szCs w:val="24"/>
              </w:rPr>
            </w:pPr>
            <w:r w:rsidRPr="00343395">
              <w:rPr>
                <w:rFonts w:ascii="Times New Roman" w:eastAsia="Times New Roman" w:hAnsi="Times New Roman" w:cs="Times New Roman"/>
                <w:sz w:val="24"/>
                <w:szCs w:val="24"/>
              </w:rPr>
              <w:t>100</w:t>
            </w:r>
          </w:p>
        </w:tc>
      </w:tr>
    </w:tbl>
    <w:p w:rsidR="00082171" w:rsidRDefault="00082171" w:rsidP="00426B75">
      <w:pPr>
        <w:spacing w:line="240" w:lineRule="auto"/>
        <w:jc w:val="center"/>
        <w:rPr>
          <w:rFonts w:ascii="Times New Roman" w:hAnsi="Times New Roman" w:cs="Times New Roman"/>
          <w:b/>
          <w:sz w:val="28"/>
          <w:szCs w:val="28"/>
          <w:lang w:val="uk-UA"/>
        </w:rPr>
      </w:pPr>
    </w:p>
    <w:p w:rsidR="00426B75" w:rsidRDefault="00426B75" w:rsidP="00426B75">
      <w:pPr>
        <w:spacing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11. Земельні відносини.</w:t>
      </w:r>
    </w:p>
    <w:p w:rsidR="00DF3EAD" w:rsidRPr="00D84C38" w:rsidRDefault="00DF3EAD" w:rsidP="00064771">
      <w:pPr>
        <w:spacing w:after="0"/>
        <w:ind w:right="-19" w:firstLine="816"/>
        <w:jc w:val="both"/>
        <w:rPr>
          <w:rFonts w:ascii="Times New Roman" w:hAnsi="Times New Roman" w:cs="Times New Roman"/>
          <w:sz w:val="28"/>
          <w:szCs w:val="28"/>
        </w:rPr>
      </w:pPr>
      <w:r w:rsidRPr="00D84C38">
        <w:rPr>
          <w:rFonts w:ascii="Times New Roman" w:hAnsi="Times New Roman" w:cs="Times New Roman"/>
          <w:sz w:val="28"/>
          <w:szCs w:val="28"/>
        </w:rPr>
        <w:lastRenderedPageBreak/>
        <w:t>На умовах оренди в районі використовується 40,1 тис</w:t>
      </w:r>
      <w:proofErr w:type="gramStart"/>
      <w:r w:rsidRPr="00D84C38">
        <w:rPr>
          <w:rFonts w:ascii="Times New Roman" w:hAnsi="Times New Roman" w:cs="Times New Roman"/>
          <w:sz w:val="28"/>
          <w:szCs w:val="28"/>
        </w:rPr>
        <w:t>.г</w:t>
      </w:r>
      <w:proofErr w:type="gramEnd"/>
      <w:r w:rsidRPr="00D84C38">
        <w:rPr>
          <w:rFonts w:ascii="Times New Roman" w:hAnsi="Times New Roman" w:cs="Times New Roman"/>
          <w:sz w:val="28"/>
          <w:szCs w:val="28"/>
        </w:rPr>
        <w:t xml:space="preserve">а земельних ділянок власників земельних часток (паїв). </w:t>
      </w:r>
    </w:p>
    <w:p w:rsidR="00DD49FD" w:rsidRDefault="00DF3EAD" w:rsidP="00DD49FD">
      <w:pPr>
        <w:spacing w:after="0"/>
        <w:ind w:right="-19" w:firstLine="816"/>
        <w:jc w:val="both"/>
        <w:rPr>
          <w:rFonts w:ascii="Times New Roman" w:hAnsi="Times New Roman" w:cs="Times New Roman"/>
          <w:sz w:val="28"/>
          <w:szCs w:val="28"/>
          <w:lang w:val="uk-UA"/>
        </w:rPr>
      </w:pPr>
      <w:r w:rsidRPr="00D84C38">
        <w:rPr>
          <w:rFonts w:ascii="Times New Roman" w:hAnsi="Times New Roman" w:cs="Times New Roman"/>
          <w:sz w:val="28"/>
          <w:szCs w:val="28"/>
        </w:rPr>
        <w:t xml:space="preserve">Протягом останніх років спостерігається </w:t>
      </w:r>
      <w:proofErr w:type="gramStart"/>
      <w:r w:rsidRPr="00D84C38">
        <w:rPr>
          <w:rFonts w:ascii="Times New Roman" w:hAnsi="Times New Roman" w:cs="Times New Roman"/>
          <w:sz w:val="28"/>
          <w:szCs w:val="28"/>
        </w:rPr>
        <w:t>стала тенденція до збільшення розміру орендної плати</w:t>
      </w:r>
      <w:proofErr w:type="gramEnd"/>
      <w:r w:rsidRPr="00D84C38">
        <w:rPr>
          <w:rFonts w:ascii="Times New Roman" w:hAnsi="Times New Roman" w:cs="Times New Roman"/>
          <w:sz w:val="28"/>
          <w:szCs w:val="28"/>
        </w:rPr>
        <w:t xml:space="preserve"> в розрахунку за </w:t>
      </w:r>
      <w:smartTag w:uri="urn:schemas-microsoft-com:office:smarttags" w:element="metricconverter">
        <w:smartTagPr>
          <w:attr w:name="ProductID" w:val="1 га"/>
        </w:smartTagPr>
        <w:r w:rsidRPr="00D84C38">
          <w:rPr>
            <w:rFonts w:ascii="Times New Roman" w:hAnsi="Times New Roman" w:cs="Times New Roman"/>
            <w:sz w:val="28"/>
            <w:szCs w:val="28"/>
          </w:rPr>
          <w:t>1 га</w:t>
        </w:r>
      </w:smartTag>
      <w:r w:rsidRPr="00D84C38">
        <w:rPr>
          <w:rFonts w:ascii="Times New Roman" w:hAnsi="Times New Roman" w:cs="Times New Roman"/>
          <w:sz w:val="28"/>
          <w:szCs w:val="28"/>
        </w:rPr>
        <w:t xml:space="preserve"> орендованих земель власників земельних часток (паїв). Середня вартість орендної </w:t>
      </w:r>
      <w:proofErr w:type="gramStart"/>
      <w:r w:rsidRPr="00D84C38">
        <w:rPr>
          <w:rFonts w:ascii="Times New Roman" w:hAnsi="Times New Roman" w:cs="Times New Roman"/>
          <w:sz w:val="28"/>
          <w:szCs w:val="28"/>
        </w:rPr>
        <w:t>плати одного гектара розпайованих земель по району у 2010 році становила</w:t>
      </w:r>
      <w:proofErr w:type="gramEnd"/>
      <w:r w:rsidRPr="00D84C38">
        <w:rPr>
          <w:rFonts w:ascii="Times New Roman" w:hAnsi="Times New Roman" w:cs="Times New Roman"/>
          <w:sz w:val="28"/>
          <w:szCs w:val="28"/>
        </w:rPr>
        <w:t xml:space="preserve"> 214 грн., у 2011 – 380 грн., у 2012 році – 700 грн., а у 2013 році – 770 грн. </w:t>
      </w:r>
    </w:p>
    <w:p w:rsidR="00DF3EAD" w:rsidRPr="00C03AF4" w:rsidRDefault="00DF3EAD" w:rsidP="00DD49FD">
      <w:pPr>
        <w:spacing w:after="0"/>
        <w:ind w:right="-19" w:firstLine="816"/>
        <w:jc w:val="center"/>
        <w:rPr>
          <w:b/>
          <w:sz w:val="28"/>
          <w:szCs w:val="28"/>
        </w:rPr>
      </w:pPr>
      <w:r w:rsidRPr="00C03AF4">
        <w:rPr>
          <w:b/>
          <w:sz w:val="28"/>
          <w:szCs w:val="28"/>
        </w:rPr>
        <w:t>Орендна плата за 1га орендованих зе</w:t>
      </w:r>
      <w:r w:rsidR="00064771">
        <w:rPr>
          <w:b/>
          <w:sz w:val="28"/>
          <w:szCs w:val="28"/>
        </w:rPr>
        <w:t>мель власників земельних часто</w:t>
      </w:r>
      <w:r w:rsidR="00DD49FD">
        <w:rPr>
          <w:b/>
          <w:sz w:val="28"/>
          <w:szCs w:val="28"/>
          <w:lang w:val="uk-UA"/>
        </w:rPr>
        <w:t xml:space="preserve">к </w:t>
      </w:r>
      <w:r w:rsidRPr="00C03AF4">
        <w:rPr>
          <w:b/>
          <w:sz w:val="28"/>
          <w:szCs w:val="28"/>
        </w:rPr>
        <w:t>(паїв</w:t>
      </w:r>
      <w:proofErr w:type="gramStart"/>
      <w:r w:rsidRPr="00C03AF4">
        <w:rPr>
          <w:b/>
          <w:sz w:val="28"/>
          <w:szCs w:val="28"/>
        </w:rPr>
        <w:t>)(</w:t>
      </w:r>
      <w:proofErr w:type="gramEnd"/>
      <w:r w:rsidRPr="00C03AF4">
        <w:rPr>
          <w:b/>
          <w:sz w:val="28"/>
          <w:szCs w:val="28"/>
        </w:rPr>
        <w:t>грн.)</w:t>
      </w:r>
    </w:p>
    <w:p w:rsidR="00DF3EAD" w:rsidRPr="00334C0D" w:rsidRDefault="00DF3EAD" w:rsidP="00DF3EAD">
      <w:pPr>
        <w:keepNext/>
      </w:pPr>
      <w:r>
        <w:rPr>
          <w:noProof/>
        </w:rPr>
        <w:drawing>
          <wp:inline distT="0" distB="0" distL="0" distR="0">
            <wp:extent cx="5257800" cy="2819400"/>
            <wp:effectExtent l="0" t="0" r="0" b="0"/>
            <wp:docPr id="43" name="Объект 4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F3EAD" w:rsidRPr="00D84C38" w:rsidRDefault="00DF3EAD" w:rsidP="00DF3EAD">
      <w:pPr>
        <w:ind w:right="-19" w:firstLine="816"/>
        <w:jc w:val="both"/>
        <w:rPr>
          <w:rFonts w:ascii="Times New Roman" w:hAnsi="Times New Roman" w:cs="Times New Roman"/>
          <w:sz w:val="28"/>
          <w:szCs w:val="28"/>
        </w:rPr>
      </w:pPr>
      <w:r w:rsidRPr="00D84C38">
        <w:rPr>
          <w:rFonts w:ascii="Times New Roman" w:hAnsi="Times New Roman" w:cs="Times New Roman"/>
          <w:sz w:val="28"/>
          <w:szCs w:val="28"/>
        </w:rPr>
        <w:t>Виходячи з цього орендна плата за використання земельних часток (паїв) у 2013 році становить 31 млн</w:t>
      </w:r>
      <w:proofErr w:type="gramStart"/>
      <w:r w:rsidRPr="00D84C38">
        <w:rPr>
          <w:rFonts w:ascii="Times New Roman" w:hAnsi="Times New Roman" w:cs="Times New Roman"/>
          <w:sz w:val="28"/>
          <w:szCs w:val="28"/>
        </w:rPr>
        <w:t>.г</w:t>
      </w:r>
      <w:proofErr w:type="gramEnd"/>
      <w:r w:rsidRPr="00D84C38">
        <w:rPr>
          <w:rFonts w:ascii="Times New Roman" w:hAnsi="Times New Roman" w:cs="Times New Roman"/>
          <w:sz w:val="28"/>
          <w:szCs w:val="28"/>
        </w:rPr>
        <w:t xml:space="preserve">рн., у 2012 році становила 26,9 млн.грн.,  у 2011 році – 14,2млн.грн., у 2010 році – 8,4 млн.грн. </w:t>
      </w:r>
    </w:p>
    <w:p w:rsidR="00DF3EAD" w:rsidRPr="00DD49FD" w:rsidRDefault="00DF3EAD" w:rsidP="000208F9">
      <w:pPr>
        <w:keepNext/>
        <w:spacing w:after="0"/>
        <w:jc w:val="center"/>
        <w:rPr>
          <w:b/>
          <w:sz w:val="28"/>
          <w:szCs w:val="28"/>
        </w:rPr>
      </w:pPr>
      <w:r w:rsidRPr="00DD49FD">
        <w:rPr>
          <w:b/>
          <w:sz w:val="28"/>
          <w:szCs w:val="28"/>
        </w:rPr>
        <w:lastRenderedPageBreak/>
        <w:t>Нарахування орендної плати за землі власників земельних часток (паїв)</w:t>
      </w:r>
    </w:p>
    <w:p w:rsidR="00DF3EAD" w:rsidRPr="00DD49FD" w:rsidRDefault="00DF3EAD" w:rsidP="000208F9">
      <w:pPr>
        <w:keepNext/>
        <w:spacing w:after="0"/>
        <w:jc w:val="center"/>
        <w:rPr>
          <w:b/>
          <w:sz w:val="28"/>
          <w:szCs w:val="28"/>
        </w:rPr>
      </w:pPr>
      <w:r w:rsidRPr="00DD49FD">
        <w:rPr>
          <w:b/>
          <w:sz w:val="28"/>
          <w:szCs w:val="28"/>
        </w:rPr>
        <w:t>(млн. грн.)</w:t>
      </w:r>
    </w:p>
    <w:p w:rsidR="00DF3EAD" w:rsidRPr="00334C0D" w:rsidRDefault="00DF3EAD" w:rsidP="000208F9">
      <w:pPr>
        <w:keepNext/>
        <w:spacing w:after="0"/>
      </w:pPr>
      <w:r>
        <w:rPr>
          <w:noProof/>
        </w:rPr>
        <w:drawing>
          <wp:inline distT="0" distB="0" distL="0" distR="0">
            <wp:extent cx="5600700" cy="2905125"/>
            <wp:effectExtent l="0" t="0" r="0" b="0"/>
            <wp:docPr id="44" name="Объект 4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F3EAD" w:rsidRPr="00D84C38" w:rsidRDefault="00DF3EAD" w:rsidP="00DF3EAD">
      <w:pPr>
        <w:ind w:right="-19" w:firstLine="816"/>
        <w:jc w:val="both"/>
        <w:rPr>
          <w:rFonts w:ascii="Times New Roman" w:hAnsi="Times New Roman" w:cs="Times New Roman"/>
          <w:sz w:val="28"/>
          <w:szCs w:val="28"/>
        </w:rPr>
      </w:pPr>
      <w:r w:rsidRPr="00D84C38">
        <w:rPr>
          <w:rFonts w:ascii="Times New Roman" w:hAnsi="Times New Roman" w:cs="Times New Roman"/>
          <w:sz w:val="28"/>
          <w:szCs w:val="28"/>
        </w:rPr>
        <w:t xml:space="preserve">Результатом великої клопіткої роботи стало те, що всі зареєстровані договори приватної власності укладено </w:t>
      </w:r>
      <w:proofErr w:type="gramStart"/>
      <w:r w:rsidRPr="00D84C38">
        <w:rPr>
          <w:rFonts w:ascii="Times New Roman" w:hAnsi="Times New Roman" w:cs="Times New Roman"/>
          <w:sz w:val="28"/>
          <w:szCs w:val="28"/>
        </w:rPr>
        <w:t>п</w:t>
      </w:r>
      <w:proofErr w:type="gramEnd"/>
      <w:r w:rsidRPr="00D84C38">
        <w:rPr>
          <w:rFonts w:ascii="Times New Roman" w:hAnsi="Times New Roman" w:cs="Times New Roman"/>
          <w:sz w:val="28"/>
          <w:szCs w:val="28"/>
        </w:rPr>
        <w:t>ід 3 і більше відсотків орендної плати.</w:t>
      </w:r>
    </w:p>
    <w:p w:rsidR="00DF3EAD" w:rsidRPr="00D84C38" w:rsidRDefault="00DF3EAD" w:rsidP="00DF3EAD">
      <w:pPr>
        <w:ind w:right="-19" w:firstLine="816"/>
        <w:jc w:val="both"/>
        <w:rPr>
          <w:rFonts w:ascii="Times New Roman" w:hAnsi="Times New Roman" w:cs="Times New Roman"/>
          <w:sz w:val="28"/>
          <w:szCs w:val="28"/>
        </w:rPr>
      </w:pPr>
    </w:p>
    <w:p w:rsidR="00DF3EAD" w:rsidRPr="00DD49FD" w:rsidRDefault="00DF3EAD" w:rsidP="00DF3EAD">
      <w:pPr>
        <w:keepNext/>
        <w:jc w:val="center"/>
        <w:rPr>
          <w:b/>
          <w:sz w:val="28"/>
          <w:szCs w:val="28"/>
        </w:rPr>
      </w:pPr>
      <w:r w:rsidRPr="00DD49FD">
        <w:rPr>
          <w:b/>
          <w:sz w:val="28"/>
          <w:szCs w:val="28"/>
        </w:rPr>
        <w:t>Ефективність використання земельних часток (паїв) (тис</w:t>
      </w:r>
      <w:proofErr w:type="gramStart"/>
      <w:r w:rsidRPr="00DD49FD">
        <w:rPr>
          <w:b/>
          <w:sz w:val="28"/>
          <w:szCs w:val="28"/>
        </w:rPr>
        <w:t>.г</w:t>
      </w:r>
      <w:proofErr w:type="gramEnd"/>
      <w:r w:rsidRPr="00DD49FD">
        <w:rPr>
          <w:b/>
          <w:sz w:val="28"/>
          <w:szCs w:val="28"/>
        </w:rPr>
        <w:t>а)</w:t>
      </w:r>
    </w:p>
    <w:p w:rsidR="00DF3EAD" w:rsidRPr="009A3A76" w:rsidRDefault="00DF3EAD" w:rsidP="00DF3EAD">
      <w:pPr>
        <w:keepNext/>
        <w:jc w:val="center"/>
      </w:pPr>
    </w:p>
    <w:p w:rsidR="00717CF1" w:rsidRDefault="00DF3EAD" w:rsidP="00D84C38">
      <w:pPr>
        <w:jc w:val="both"/>
        <w:rPr>
          <w:lang w:val="uk-UA"/>
        </w:rPr>
      </w:pPr>
      <w:r>
        <w:rPr>
          <w:noProof/>
        </w:rPr>
        <w:drawing>
          <wp:inline distT="0" distB="0" distL="0" distR="0">
            <wp:extent cx="5715000" cy="3352800"/>
            <wp:effectExtent l="0" t="0" r="0" b="0"/>
            <wp:docPr id="45" name="Объект 4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t xml:space="preserve">        </w:t>
      </w:r>
    </w:p>
    <w:p w:rsidR="00DF3EAD" w:rsidRPr="00D84C38" w:rsidRDefault="00DF3EAD" w:rsidP="00D84C38">
      <w:pPr>
        <w:jc w:val="both"/>
        <w:rPr>
          <w:rFonts w:ascii="Times New Roman" w:hAnsi="Times New Roman" w:cs="Times New Roman"/>
          <w:sz w:val="28"/>
          <w:szCs w:val="28"/>
        </w:rPr>
      </w:pPr>
      <w:r>
        <w:lastRenderedPageBreak/>
        <w:t xml:space="preserve">    </w:t>
      </w:r>
      <w:proofErr w:type="gramStart"/>
      <w:r w:rsidRPr="00D84C38">
        <w:rPr>
          <w:rFonts w:ascii="Times New Roman" w:hAnsi="Times New Roman" w:cs="Times New Roman"/>
          <w:sz w:val="28"/>
          <w:szCs w:val="28"/>
        </w:rPr>
        <w:t>Кр</w:t>
      </w:r>
      <w:proofErr w:type="gramEnd"/>
      <w:r w:rsidRPr="00D84C38">
        <w:rPr>
          <w:rFonts w:ascii="Times New Roman" w:hAnsi="Times New Roman" w:cs="Times New Roman"/>
          <w:sz w:val="28"/>
          <w:szCs w:val="28"/>
        </w:rPr>
        <w:t xml:space="preserve">ім того 97% земель державної власності використовуються з орендною платою 3 і більше відсотків. Починаючи з 2009 проводяться роботи по укладенню нових та перегляду укладених договорів оренди з метою підвищення орендної плати. Так у 2009 році лише 10% договорів були укладені </w:t>
      </w:r>
      <w:proofErr w:type="gramStart"/>
      <w:r w:rsidRPr="00D84C38">
        <w:rPr>
          <w:rFonts w:ascii="Times New Roman" w:hAnsi="Times New Roman" w:cs="Times New Roman"/>
          <w:sz w:val="28"/>
          <w:szCs w:val="28"/>
        </w:rPr>
        <w:t>п</w:t>
      </w:r>
      <w:proofErr w:type="gramEnd"/>
      <w:r w:rsidRPr="00D84C38">
        <w:rPr>
          <w:rFonts w:ascii="Times New Roman" w:hAnsi="Times New Roman" w:cs="Times New Roman"/>
          <w:sz w:val="28"/>
          <w:szCs w:val="28"/>
        </w:rPr>
        <w:t>ід 3 і більше відсотків, а у 2012 році уже 95,  у 2013 – 97 %.</w:t>
      </w:r>
    </w:p>
    <w:p w:rsidR="00DF3EAD" w:rsidRPr="00717CF1" w:rsidRDefault="00DF3EAD" w:rsidP="00DF3EAD">
      <w:pPr>
        <w:keepNext/>
        <w:jc w:val="center"/>
        <w:rPr>
          <w:b/>
          <w:sz w:val="28"/>
          <w:szCs w:val="28"/>
        </w:rPr>
      </w:pPr>
      <w:r w:rsidRPr="00717CF1">
        <w:rPr>
          <w:b/>
          <w:sz w:val="28"/>
          <w:szCs w:val="28"/>
        </w:rPr>
        <w:t>Використання земель державної власності (запас, резерв) (</w:t>
      </w:r>
      <w:proofErr w:type="gramStart"/>
      <w:r w:rsidRPr="00717CF1">
        <w:rPr>
          <w:b/>
          <w:sz w:val="28"/>
          <w:szCs w:val="28"/>
        </w:rPr>
        <w:t>га</w:t>
      </w:r>
      <w:proofErr w:type="gramEnd"/>
      <w:r w:rsidRPr="00717CF1">
        <w:rPr>
          <w:b/>
          <w:sz w:val="28"/>
          <w:szCs w:val="28"/>
        </w:rPr>
        <w:t>)</w:t>
      </w:r>
    </w:p>
    <w:p w:rsidR="00DF3EAD" w:rsidRPr="008B4409" w:rsidRDefault="00DF3EAD" w:rsidP="00DF3EAD">
      <w:pPr>
        <w:keepNext/>
        <w:jc w:val="center"/>
        <w:rPr>
          <w:b/>
        </w:rPr>
      </w:pPr>
    </w:p>
    <w:p w:rsidR="00DF3EAD" w:rsidRDefault="00DF3EAD" w:rsidP="00DF3EAD">
      <w:pPr>
        <w:rPr>
          <w:sz w:val="28"/>
          <w:szCs w:val="28"/>
        </w:rPr>
      </w:pPr>
      <w:r>
        <w:rPr>
          <w:noProof/>
        </w:rPr>
        <w:drawing>
          <wp:inline distT="0" distB="0" distL="0" distR="0">
            <wp:extent cx="5895975" cy="3581400"/>
            <wp:effectExtent l="0" t="0" r="0" b="0"/>
            <wp:docPr id="46" name="Объект 4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F3EAD" w:rsidRPr="00D36CD8" w:rsidRDefault="00DF3EAD" w:rsidP="00DF3EAD">
      <w:pPr>
        <w:ind w:right="-19" w:firstLine="816"/>
        <w:jc w:val="both"/>
        <w:rPr>
          <w:rFonts w:ascii="Times New Roman" w:hAnsi="Times New Roman" w:cs="Times New Roman"/>
          <w:sz w:val="28"/>
          <w:szCs w:val="28"/>
        </w:rPr>
      </w:pPr>
      <w:r w:rsidRPr="00D36CD8">
        <w:rPr>
          <w:rFonts w:ascii="Times New Roman" w:hAnsi="Times New Roman" w:cs="Times New Roman"/>
          <w:sz w:val="28"/>
          <w:szCs w:val="28"/>
        </w:rPr>
        <w:t xml:space="preserve">У 2013 році Держземагентством впроваджено нову автоматизовану Національну кадастрову систему, чим суттєво спрощено процедуру з реєстрації земельних ділянок. Також відкрито Публічну кадастрову карту – інформація про земельні ділянки вперше стала загальнодоступною. </w:t>
      </w:r>
    </w:p>
    <w:p w:rsidR="00DF3EAD" w:rsidRPr="00D36CD8" w:rsidRDefault="00DF3EAD" w:rsidP="00DF3EAD">
      <w:pPr>
        <w:ind w:firstLine="816"/>
        <w:jc w:val="both"/>
        <w:rPr>
          <w:rFonts w:ascii="Times New Roman" w:hAnsi="Times New Roman" w:cs="Times New Roman"/>
        </w:rPr>
      </w:pPr>
      <w:proofErr w:type="gramStart"/>
      <w:r w:rsidRPr="00D36CD8">
        <w:rPr>
          <w:rFonts w:ascii="Times New Roman" w:hAnsi="Times New Roman" w:cs="Times New Roman"/>
          <w:sz w:val="28"/>
          <w:szCs w:val="28"/>
        </w:rPr>
        <w:t>Проведен</w:t>
      </w:r>
      <w:proofErr w:type="gramEnd"/>
      <w:r w:rsidRPr="00D36CD8">
        <w:rPr>
          <w:rFonts w:ascii="Times New Roman" w:hAnsi="Times New Roman" w:cs="Times New Roman"/>
          <w:sz w:val="28"/>
          <w:szCs w:val="28"/>
        </w:rPr>
        <w:t>і роботи з інвентаризації земель сільськогосподарського призначення державної власності. Відомості про земельні ділянки наразі внесені до Державного земельного кадастру. Як результат – всі ці земельні ділянки можна побачити на Публічній кадастровій карті.</w:t>
      </w:r>
      <w:r w:rsidRPr="00D36CD8">
        <w:rPr>
          <w:rFonts w:ascii="Times New Roman" w:hAnsi="Times New Roman" w:cs="Times New Roman"/>
        </w:rPr>
        <w:t xml:space="preserve"> </w:t>
      </w:r>
    </w:p>
    <w:p w:rsidR="00DF3EAD" w:rsidRPr="00DF3EAD" w:rsidRDefault="00DF3EAD" w:rsidP="005879D6">
      <w:pPr>
        <w:ind w:right="-19" w:firstLine="816"/>
        <w:jc w:val="both"/>
        <w:rPr>
          <w:rFonts w:ascii="Times New Roman" w:hAnsi="Times New Roman" w:cs="Times New Roman"/>
          <w:b/>
          <w:sz w:val="28"/>
          <w:szCs w:val="28"/>
        </w:rPr>
      </w:pPr>
      <w:r w:rsidRPr="00D36CD8">
        <w:rPr>
          <w:rFonts w:ascii="Times New Roman" w:hAnsi="Times New Roman" w:cs="Times New Roman"/>
          <w:sz w:val="28"/>
          <w:szCs w:val="28"/>
        </w:rPr>
        <w:t>Також у 2013 році завершено проведення оновлення грошової оцінки земель усіх населених пункті</w:t>
      </w:r>
      <w:proofErr w:type="gramStart"/>
      <w:r w:rsidRPr="00D36CD8">
        <w:rPr>
          <w:rFonts w:ascii="Times New Roman" w:hAnsi="Times New Roman" w:cs="Times New Roman"/>
          <w:sz w:val="28"/>
          <w:szCs w:val="28"/>
        </w:rPr>
        <w:t>в</w:t>
      </w:r>
      <w:proofErr w:type="gramEnd"/>
      <w:r w:rsidRPr="00D36CD8">
        <w:rPr>
          <w:rFonts w:ascii="Times New Roman" w:hAnsi="Times New Roman" w:cs="Times New Roman"/>
          <w:sz w:val="28"/>
          <w:szCs w:val="28"/>
        </w:rPr>
        <w:t xml:space="preserve"> району. Всі </w:t>
      </w:r>
      <w:proofErr w:type="gramStart"/>
      <w:r w:rsidRPr="00D36CD8">
        <w:rPr>
          <w:rFonts w:ascii="Times New Roman" w:hAnsi="Times New Roman" w:cs="Times New Roman"/>
          <w:sz w:val="28"/>
          <w:szCs w:val="28"/>
        </w:rPr>
        <w:t>населен</w:t>
      </w:r>
      <w:proofErr w:type="gramEnd"/>
      <w:r w:rsidRPr="00D36CD8">
        <w:rPr>
          <w:rFonts w:ascii="Times New Roman" w:hAnsi="Times New Roman" w:cs="Times New Roman"/>
          <w:sz w:val="28"/>
          <w:szCs w:val="28"/>
        </w:rPr>
        <w:t xml:space="preserve">і пункти Недригайлівського району нині мають актуальну і збалансовану грошову оцінку земель. Базова вартість </w:t>
      </w:r>
      <w:smartTag w:uri="urn:schemas-microsoft-com:office:smarttags" w:element="metricconverter">
        <w:smartTagPr>
          <w:attr w:name="ProductID" w:val="1 м2"/>
        </w:smartTagPr>
        <w:r w:rsidRPr="00D36CD8">
          <w:rPr>
            <w:rFonts w:ascii="Times New Roman" w:hAnsi="Times New Roman" w:cs="Times New Roman"/>
            <w:sz w:val="28"/>
            <w:szCs w:val="28"/>
          </w:rPr>
          <w:t>1 м</w:t>
        </w:r>
        <w:proofErr w:type="gramStart"/>
        <w:r w:rsidRPr="00D36CD8">
          <w:rPr>
            <w:rFonts w:ascii="Times New Roman" w:hAnsi="Times New Roman" w:cs="Times New Roman"/>
            <w:sz w:val="28"/>
            <w:szCs w:val="28"/>
            <w:vertAlign w:val="superscript"/>
          </w:rPr>
          <w:t>2</w:t>
        </w:r>
      </w:smartTag>
      <w:proofErr w:type="gramEnd"/>
      <w:r w:rsidRPr="00D36CD8">
        <w:rPr>
          <w:rFonts w:ascii="Times New Roman" w:hAnsi="Times New Roman" w:cs="Times New Roman"/>
          <w:sz w:val="28"/>
          <w:szCs w:val="28"/>
        </w:rPr>
        <w:t xml:space="preserve"> по оновленій грошовій оцінці збільшилась </w:t>
      </w:r>
      <w:r w:rsidRPr="00D36CD8">
        <w:rPr>
          <w:rFonts w:ascii="Times New Roman" w:hAnsi="Times New Roman" w:cs="Times New Roman"/>
          <w:sz w:val="28"/>
          <w:szCs w:val="28"/>
        </w:rPr>
        <w:lastRenderedPageBreak/>
        <w:t>в середньому у  9 разів, а це суттєвий внесок у формування доходної частини бюджетів сільських, селищних рад району.</w:t>
      </w:r>
    </w:p>
    <w:p w:rsidR="000F307C" w:rsidRDefault="00C725D0" w:rsidP="00DC167D">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12. Соціальний захист</w:t>
      </w:r>
      <w:r w:rsidR="007A3406">
        <w:rPr>
          <w:rFonts w:ascii="Times New Roman" w:hAnsi="Times New Roman" w:cs="Times New Roman"/>
          <w:b/>
          <w:sz w:val="28"/>
          <w:szCs w:val="28"/>
          <w:lang w:val="uk-UA"/>
        </w:rPr>
        <w:t xml:space="preserve"> та соціальне забезпечення, виконання соціальних ініціатив Президента України</w:t>
      </w:r>
    </w:p>
    <w:p w:rsidR="005A7A61" w:rsidRPr="005A7A61" w:rsidRDefault="005A7A61" w:rsidP="005A7A61">
      <w:pPr>
        <w:pStyle w:val="210"/>
        <w:spacing w:line="240" w:lineRule="auto"/>
        <w:ind w:firstLine="720"/>
        <w:rPr>
          <w:b w:val="0"/>
          <w:sz w:val="28"/>
          <w:szCs w:val="28"/>
          <w:lang w:val="uk-UA"/>
        </w:rPr>
      </w:pPr>
    </w:p>
    <w:p w:rsidR="005A7A61" w:rsidRPr="005A7A61" w:rsidRDefault="005A7A61" w:rsidP="005A7A61">
      <w:pPr>
        <w:pStyle w:val="214"/>
        <w:spacing w:after="0" w:line="240" w:lineRule="auto"/>
      </w:pPr>
      <w:r w:rsidRPr="005A7A61">
        <w:t>Робота управління праці та соціального захисту населення Недригайлівської районної державної адміністрації над виконанням завдань програми соціально – економічного розвитку району спрямовувалася на зростання рівня доходів населення і його зайнятість, дотримання державних гарантій в оплаті праці,  поглиблення адресності при наданні державних соціальних допомог та пільг, підвищення рівня соціального обслуговування населення.</w:t>
      </w:r>
    </w:p>
    <w:p w:rsidR="005A7A61" w:rsidRPr="005A7A61" w:rsidRDefault="005A7A61" w:rsidP="005A7A61">
      <w:pPr>
        <w:pStyle w:val="210"/>
        <w:spacing w:line="240" w:lineRule="auto"/>
        <w:ind w:firstLine="720"/>
        <w:rPr>
          <w:b w:val="0"/>
          <w:bCs/>
          <w:sz w:val="28"/>
          <w:szCs w:val="28"/>
          <w:lang w:val="ru-RU"/>
        </w:rPr>
      </w:pPr>
      <w:r w:rsidRPr="005A7A61">
        <w:rPr>
          <w:b w:val="0"/>
          <w:bCs/>
          <w:sz w:val="28"/>
          <w:szCs w:val="28"/>
          <w:lang w:val="uk-UA"/>
        </w:rPr>
        <w:t xml:space="preserve"> </w:t>
      </w:r>
      <w:r w:rsidRPr="005A7A61">
        <w:rPr>
          <w:b w:val="0"/>
          <w:bCs/>
          <w:sz w:val="28"/>
          <w:szCs w:val="28"/>
          <w:lang w:val="ru-RU"/>
        </w:rPr>
        <w:t xml:space="preserve">Станом на 01 </w:t>
      </w:r>
      <w:r w:rsidRPr="005A7A61">
        <w:rPr>
          <w:b w:val="0"/>
          <w:bCs/>
          <w:sz w:val="28"/>
          <w:szCs w:val="28"/>
          <w:lang w:val="uk-UA"/>
        </w:rPr>
        <w:t>січня</w:t>
      </w:r>
      <w:r w:rsidRPr="005A7A61">
        <w:rPr>
          <w:b w:val="0"/>
          <w:bCs/>
          <w:sz w:val="28"/>
          <w:szCs w:val="28"/>
          <w:lang w:val="ru-RU"/>
        </w:rPr>
        <w:t xml:space="preserve"> 201</w:t>
      </w:r>
      <w:r w:rsidRPr="005A7A61">
        <w:rPr>
          <w:b w:val="0"/>
          <w:bCs/>
          <w:sz w:val="28"/>
          <w:szCs w:val="28"/>
          <w:lang w:val="uk-UA"/>
        </w:rPr>
        <w:t>4</w:t>
      </w:r>
      <w:r w:rsidRPr="005A7A61">
        <w:rPr>
          <w:b w:val="0"/>
          <w:bCs/>
          <w:sz w:val="28"/>
          <w:szCs w:val="28"/>
          <w:lang w:val="ru-RU"/>
        </w:rPr>
        <w:t xml:space="preserve"> р. перебувало на </w:t>
      </w:r>
      <w:proofErr w:type="gramStart"/>
      <w:r w:rsidRPr="005A7A61">
        <w:rPr>
          <w:b w:val="0"/>
          <w:bCs/>
          <w:sz w:val="28"/>
          <w:szCs w:val="28"/>
          <w:lang w:val="ru-RU"/>
        </w:rPr>
        <w:t>обл</w:t>
      </w:r>
      <w:proofErr w:type="gramEnd"/>
      <w:r w:rsidRPr="005A7A61">
        <w:rPr>
          <w:b w:val="0"/>
          <w:bCs/>
          <w:sz w:val="28"/>
          <w:szCs w:val="28"/>
          <w:lang w:val="ru-RU"/>
        </w:rPr>
        <w:t xml:space="preserve">іку в управлінні </w:t>
      </w:r>
      <w:r w:rsidRPr="005A7A61">
        <w:rPr>
          <w:b w:val="0"/>
          <w:bCs/>
          <w:sz w:val="28"/>
          <w:szCs w:val="28"/>
          <w:lang w:val="uk-UA"/>
        </w:rPr>
        <w:t>1895</w:t>
      </w:r>
      <w:r w:rsidRPr="005A7A61">
        <w:rPr>
          <w:b w:val="0"/>
          <w:bCs/>
          <w:sz w:val="28"/>
          <w:szCs w:val="28"/>
          <w:lang w:val="ru-RU"/>
        </w:rPr>
        <w:t xml:space="preserve"> одержувачів різних видів державних допомог. </w:t>
      </w:r>
      <w:r w:rsidRPr="005A7A61">
        <w:rPr>
          <w:b w:val="0"/>
          <w:bCs/>
          <w:sz w:val="28"/>
          <w:szCs w:val="28"/>
          <w:lang w:val="uk-UA"/>
        </w:rPr>
        <w:t xml:space="preserve">За 2013 рік їм виплачено допомоги на суму 18931,8 тис.гривень, що на 22,4%  більше 2012 року. </w:t>
      </w:r>
      <w:r w:rsidRPr="005A7A61">
        <w:rPr>
          <w:b w:val="0"/>
          <w:bCs/>
          <w:sz w:val="28"/>
          <w:szCs w:val="28"/>
          <w:lang w:val="ru-RU"/>
        </w:rPr>
        <w:t>Заборгованості з виплати державної допомоги нема</w:t>
      </w:r>
      <w:proofErr w:type="gramStart"/>
      <w:r w:rsidRPr="005A7A61">
        <w:rPr>
          <w:b w:val="0"/>
          <w:bCs/>
          <w:sz w:val="28"/>
          <w:szCs w:val="28"/>
          <w:lang w:val="ru-RU"/>
        </w:rPr>
        <w:t>є.</w:t>
      </w:r>
      <w:proofErr w:type="gramEnd"/>
    </w:p>
    <w:p w:rsidR="005A7A61" w:rsidRPr="005A7A61" w:rsidRDefault="005A7A61" w:rsidP="005A7A61">
      <w:pPr>
        <w:pStyle w:val="210"/>
        <w:spacing w:line="240" w:lineRule="auto"/>
        <w:ind w:firstLine="720"/>
        <w:rPr>
          <w:b w:val="0"/>
          <w:bCs/>
          <w:sz w:val="28"/>
          <w:szCs w:val="28"/>
          <w:lang w:val="uk-UA"/>
        </w:rPr>
      </w:pPr>
      <w:r w:rsidRPr="005A7A61">
        <w:rPr>
          <w:b w:val="0"/>
          <w:bCs/>
          <w:sz w:val="28"/>
          <w:szCs w:val="28"/>
          <w:lang w:val="ru-RU"/>
        </w:rPr>
        <w:t>1297 сім'ям з дітьми виплачено державної допомоги на суму 12177,9 тис</w:t>
      </w:r>
      <w:proofErr w:type="gramStart"/>
      <w:r w:rsidRPr="005A7A61">
        <w:rPr>
          <w:b w:val="0"/>
          <w:bCs/>
          <w:sz w:val="28"/>
          <w:szCs w:val="28"/>
          <w:lang w:val="ru-RU"/>
        </w:rPr>
        <w:t>.г</w:t>
      </w:r>
      <w:proofErr w:type="gramEnd"/>
      <w:r w:rsidRPr="005A7A61">
        <w:rPr>
          <w:b w:val="0"/>
          <w:bCs/>
          <w:sz w:val="28"/>
          <w:szCs w:val="28"/>
          <w:lang w:val="ru-RU"/>
        </w:rPr>
        <w:t xml:space="preserve">ривень, що на 12,8 % вище минулорічного показника. </w:t>
      </w:r>
      <w:r w:rsidRPr="005A7A61">
        <w:rPr>
          <w:noProof/>
          <w:sz w:val="28"/>
          <w:szCs w:val="28"/>
          <w:lang w:val="ru-RU" w:eastAsia="ru-RU"/>
        </w:rPr>
        <w:drawing>
          <wp:inline distT="0" distB="0" distL="0" distR="0">
            <wp:extent cx="5972175" cy="2943225"/>
            <wp:effectExtent l="0" t="0" r="0" b="0"/>
            <wp:docPr id="19"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A7A61" w:rsidRPr="005A7A61" w:rsidRDefault="005A7A61" w:rsidP="005A7A61">
      <w:pPr>
        <w:pStyle w:val="210"/>
        <w:spacing w:line="240" w:lineRule="auto"/>
        <w:ind w:firstLine="720"/>
        <w:rPr>
          <w:b w:val="0"/>
          <w:bCs/>
          <w:sz w:val="28"/>
          <w:szCs w:val="28"/>
          <w:lang w:val="ru-RU"/>
        </w:rPr>
      </w:pPr>
      <w:r w:rsidRPr="005A7A61">
        <w:rPr>
          <w:b w:val="0"/>
          <w:bCs/>
          <w:sz w:val="28"/>
          <w:szCs w:val="28"/>
          <w:lang w:val="uk-UA"/>
        </w:rPr>
        <w:t xml:space="preserve">Державну соціальну допомогу малозабезпеченим сім’ям одержують 136 сімей району, в яких виховуються 362 дитини, у тому числі 94 багатодітних сімей, в яких виховується 292 дитини, середній розмір допомоги у багатодітній сім’ї становить 1863 гривні. </w:t>
      </w:r>
      <w:r w:rsidRPr="005A7A61">
        <w:rPr>
          <w:b w:val="0"/>
          <w:bCs/>
          <w:sz w:val="28"/>
          <w:szCs w:val="28"/>
          <w:lang w:val="ru-RU"/>
        </w:rPr>
        <w:t>У 2013 році їм нараховано 2599,5  тис</w:t>
      </w:r>
      <w:proofErr w:type="gramStart"/>
      <w:r w:rsidRPr="005A7A61">
        <w:rPr>
          <w:b w:val="0"/>
          <w:bCs/>
          <w:sz w:val="28"/>
          <w:szCs w:val="28"/>
          <w:lang w:val="ru-RU"/>
        </w:rPr>
        <w:t>.г</w:t>
      </w:r>
      <w:proofErr w:type="gramEnd"/>
      <w:r w:rsidRPr="005A7A61">
        <w:rPr>
          <w:b w:val="0"/>
          <w:bCs/>
          <w:sz w:val="28"/>
          <w:szCs w:val="28"/>
          <w:lang w:val="ru-RU"/>
        </w:rPr>
        <w:t>ривень, що на 76% більше ніж у 2012 році.</w:t>
      </w:r>
    </w:p>
    <w:p w:rsidR="005A7A61" w:rsidRPr="005A7A61" w:rsidRDefault="005A7A61" w:rsidP="005A7A61">
      <w:pPr>
        <w:pStyle w:val="210"/>
        <w:spacing w:line="240" w:lineRule="auto"/>
        <w:ind w:firstLine="720"/>
        <w:rPr>
          <w:b w:val="0"/>
          <w:bCs/>
          <w:sz w:val="28"/>
          <w:szCs w:val="28"/>
          <w:lang w:val="ru-RU"/>
        </w:rPr>
      </w:pPr>
      <w:r w:rsidRPr="005A7A61">
        <w:rPr>
          <w:noProof/>
          <w:sz w:val="28"/>
          <w:szCs w:val="28"/>
          <w:lang w:val="ru-RU" w:eastAsia="ru-RU"/>
        </w:rPr>
        <w:lastRenderedPageBreak/>
        <w:drawing>
          <wp:inline distT="0" distB="0" distL="0" distR="0">
            <wp:extent cx="5438775" cy="3219450"/>
            <wp:effectExtent l="0" t="0" r="0" b="0"/>
            <wp:docPr id="20"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A7A61" w:rsidRPr="005A7A61" w:rsidRDefault="005A7A61" w:rsidP="00B73C7A">
      <w:pPr>
        <w:spacing w:after="0" w:line="240" w:lineRule="auto"/>
        <w:ind w:firstLine="708"/>
        <w:jc w:val="both"/>
        <w:rPr>
          <w:rFonts w:ascii="Times New Roman" w:hAnsi="Times New Roman" w:cs="Times New Roman"/>
          <w:color w:val="000000"/>
          <w:sz w:val="28"/>
          <w:szCs w:val="28"/>
        </w:rPr>
      </w:pPr>
      <w:r w:rsidRPr="005A7A61">
        <w:rPr>
          <w:rFonts w:ascii="Times New Roman" w:hAnsi="Times New Roman" w:cs="Times New Roman"/>
          <w:color w:val="000000"/>
          <w:sz w:val="28"/>
          <w:szCs w:val="28"/>
        </w:rPr>
        <w:t xml:space="preserve">В районі функціонує 1 будинок сімейного типу та 5 прийомних </w:t>
      </w:r>
      <w:proofErr w:type="gramStart"/>
      <w:r w:rsidRPr="005A7A61">
        <w:rPr>
          <w:rFonts w:ascii="Times New Roman" w:hAnsi="Times New Roman" w:cs="Times New Roman"/>
          <w:color w:val="000000"/>
          <w:sz w:val="28"/>
          <w:szCs w:val="28"/>
        </w:rPr>
        <w:t>сімей</w:t>
      </w:r>
      <w:proofErr w:type="gramEnd"/>
      <w:r w:rsidRPr="005A7A61">
        <w:rPr>
          <w:rFonts w:ascii="Times New Roman" w:hAnsi="Times New Roman" w:cs="Times New Roman"/>
          <w:color w:val="000000"/>
          <w:sz w:val="28"/>
          <w:szCs w:val="28"/>
        </w:rPr>
        <w:t>, де виховується 14 дітей. На дітей нарахована та виплачена державна допомога на суму 412,8 тис</w:t>
      </w:r>
      <w:proofErr w:type="gramStart"/>
      <w:r w:rsidRPr="005A7A61">
        <w:rPr>
          <w:rFonts w:ascii="Times New Roman" w:hAnsi="Times New Roman" w:cs="Times New Roman"/>
          <w:color w:val="000000"/>
          <w:sz w:val="28"/>
          <w:szCs w:val="28"/>
        </w:rPr>
        <w:t>.</w:t>
      </w:r>
      <w:proofErr w:type="gramEnd"/>
      <w:r w:rsidRPr="005A7A61">
        <w:rPr>
          <w:rFonts w:ascii="Times New Roman" w:hAnsi="Times New Roman" w:cs="Times New Roman"/>
          <w:color w:val="000000"/>
          <w:sz w:val="28"/>
          <w:szCs w:val="28"/>
        </w:rPr>
        <w:t xml:space="preserve"> </w:t>
      </w:r>
      <w:proofErr w:type="gramStart"/>
      <w:r w:rsidRPr="005A7A61">
        <w:rPr>
          <w:rFonts w:ascii="Times New Roman" w:hAnsi="Times New Roman" w:cs="Times New Roman"/>
          <w:color w:val="000000"/>
          <w:sz w:val="28"/>
          <w:szCs w:val="28"/>
        </w:rPr>
        <w:t>г</w:t>
      </w:r>
      <w:proofErr w:type="gramEnd"/>
      <w:r w:rsidRPr="005A7A61">
        <w:rPr>
          <w:rFonts w:ascii="Times New Roman" w:hAnsi="Times New Roman" w:cs="Times New Roman"/>
          <w:color w:val="000000"/>
          <w:sz w:val="28"/>
          <w:szCs w:val="28"/>
        </w:rPr>
        <w:t xml:space="preserve">ривень, 6 батьків-вихователів і прийомних батьків одержали грошове забезпечення на суму </w:t>
      </w:r>
      <w:r w:rsidRPr="005A7A61">
        <w:rPr>
          <w:rFonts w:ascii="Times New Roman" w:hAnsi="Times New Roman" w:cs="Times New Roman"/>
          <w:color w:val="000000"/>
          <w:sz w:val="28"/>
          <w:szCs w:val="28"/>
          <w:lang w:val="uk-UA"/>
        </w:rPr>
        <w:t>141,8</w:t>
      </w:r>
      <w:r w:rsidRPr="005A7A61">
        <w:rPr>
          <w:rFonts w:ascii="Times New Roman" w:hAnsi="Times New Roman" w:cs="Times New Roman"/>
          <w:color w:val="000000"/>
          <w:sz w:val="28"/>
          <w:szCs w:val="28"/>
        </w:rPr>
        <w:t xml:space="preserve"> тис. гривень.</w:t>
      </w:r>
    </w:p>
    <w:p w:rsidR="005A7A61" w:rsidRPr="005A7A61" w:rsidRDefault="005A7A61" w:rsidP="00B73C7A">
      <w:pPr>
        <w:spacing w:after="0" w:line="240" w:lineRule="auto"/>
        <w:ind w:firstLine="708"/>
        <w:jc w:val="both"/>
        <w:rPr>
          <w:rFonts w:ascii="Times New Roman" w:hAnsi="Times New Roman" w:cs="Times New Roman"/>
          <w:color w:val="FF0000"/>
          <w:sz w:val="28"/>
          <w:szCs w:val="28"/>
        </w:rPr>
      </w:pPr>
      <w:r w:rsidRPr="005A7A61">
        <w:rPr>
          <w:rFonts w:ascii="Times New Roman" w:hAnsi="Times New Roman" w:cs="Times New Roman"/>
          <w:color w:val="000000"/>
          <w:sz w:val="28"/>
          <w:szCs w:val="28"/>
          <w:lang w:val="uk-UA"/>
        </w:rPr>
        <w:t>32</w:t>
      </w:r>
      <w:r w:rsidRPr="005A7A61">
        <w:rPr>
          <w:rFonts w:ascii="Times New Roman" w:hAnsi="Times New Roman" w:cs="Times New Roman"/>
          <w:color w:val="000000"/>
          <w:sz w:val="28"/>
          <w:szCs w:val="28"/>
        </w:rPr>
        <w:t xml:space="preserve"> опікуна, які займаються вихованням 37 дітей, над якими встановлено опіку чи піклування одержали допомогу на суму 877,9 тис. гривень.</w:t>
      </w:r>
      <w:r w:rsidRPr="005A7A61">
        <w:rPr>
          <w:rFonts w:ascii="Times New Roman" w:hAnsi="Times New Roman" w:cs="Times New Roman"/>
          <w:color w:val="FF0000"/>
          <w:sz w:val="28"/>
          <w:szCs w:val="28"/>
        </w:rPr>
        <w:t xml:space="preserve"> </w:t>
      </w:r>
    </w:p>
    <w:p w:rsidR="005A7A61" w:rsidRPr="005A7A61" w:rsidRDefault="005A7A61" w:rsidP="00B73C7A">
      <w:pPr>
        <w:spacing w:after="0" w:line="240" w:lineRule="auto"/>
        <w:ind w:firstLine="708"/>
        <w:jc w:val="both"/>
        <w:rPr>
          <w:rFonts w:ascii="Times New Roman" w:hAnsi="Times New Roman" w:cs="Times New Roman"/>
          <w:sz w:val="28"/>
          <w:szCs w:val="28"/>
          <w:lang w:val="uk-UA"/>
        </w:rPr>
      </w:pPr>
      <w:r w:rsidRPr="005A7A61">
        <w:rPr>
          <w:rFonts w:ascii="Times New Roman" w:hAnsi="Times New Roman" w:cs="Times New Roman"/>
          <w:sz w:val="28"/>
          <w:szCs w:val="28"/>
        </w:rPr>
        <w:t xml:space="preserve">За 2013 </w:t>
      </w:r>
      <w:proofErr w:type="gramStart"/>
      <w:r w:rsidRPr="005A7A61">
        <w:rPr>
          <w:rFonts w:ascii="Times New Roman" w:hAnsi="Times New Roman" w:cs="Times New Roman"/>
          <w:sz w:val="28"/>
          <w:szCs w:val="28"/>
        </w:rPr>
        <w:t>р</w:t>
      </w:r>
      <w:proofErr w:type="gramEnd"/>
      <w:r w:rsidRPr="005A7A61">
        <w:rPr>
          <w:rFonts w:ascii="Times New Roman" w:hAnsi="Times New Roman" w:cs="Times New Roman"/>
          <w:sz w:val="28"/>
          <w:szCs w:val="28"/>
        </w:rPr>
        <w:t>ік  203 інвалідам з дитинства та  діт</w:t>
      </w:r>
      <w:r w:rsidRPr="005A7A61">
        <w:rPr>
          <w:rFonts w:ascii="Times New Roman" w:hAnsi="Times New Roman" w:cs="Times New Roman"/>
          <w:sz w:val="28"/>
          <w:szCs w:val="28"/>
          <w:lang w:val="uk-UA"/>
        </w:rPr>
        <w:t>ям</w:t>
      </w:r>
      <w:r w:rsidRPr="005A7A61">
        <w:rPr>
          <w:rFonts w:ascii="Times New Roman" w:hAnsi="Times New Roman" w:cs="Times New Roman"/>
          <w:sz w:val="28"/>
          <w:szCs w:val="28"/>
        </w:rPr>
        <w:t xml:space="preserve">-інвалідам </w:t>
      </w:r>
      <w:r w:rsidRPr="005A7A61">
        <w:rPr>
          <w:rFonts w:ascii="Times New Roman" w:hAnsi="Times New Roman" w:cs="Times New Roman"/>
          <w:sz w:val="28"/>
          <w:szCs w:val="28"/>
          <w:lang w:val="uk-UA"/>
        </w:rPr>
        <w:t>виплачено</w:t>
      </w:r>
      <w:r w:rsidRPr="005A7A61">
        <w:rPr>
          <w:rFonts w:ascii="Times New Roman" w:hAnsi="Times New Roman" w:cs="Times New Roman"/>
          <w:sz w:val="28"/>
          <w:szCs w:val="28"/>
        </w:rPr>
        <w:t xml:space="preserve"> допомоги на суму 2673,1 тис. гривень</w:t>
      </w:r>
      <w:r w:rsidRPr="005A7A61">
        <w:rPr>
          <w:rFonts w:ascii="Times New Roman" w:hAnsi="Times New Roman" w:cs="Times New Roman"/>
          <w:sz w:val="28"/>
          <w:szCs w:val="28"/>
          <w:lang w:val="uk-UA"/>
        </w:rPr>
        <w:t>,</w:t>
      </w:r>
      <w:r w:rsidRPr="005A7A61">
        <w:rPr>
          <w:rFonts w:ascii="Times New Roman" w:hAnsi="Times New Roman" w:cs="Times New Roman"/>
          <w:sz w:val="28"/>
          <w:szCs w:val="28"/>
        </w:rPr>
        <w:t xml:space="preserve"> що більше на 15,4% ніж за минулий рік.</w:t>
      </w:r>
    </w:p>
    <w:p w:rsidR="005A7A61" w:rsidRPr="005A7A61" w:rsidRDefault="005A7A61" w:rsidP="00B73C7A">
      <w:pPr>
        <w:spacing w:after="0" w:line="240" w:lineRule="auto"/>
        <w:ind w:firstLine="720"/>
        <w:jc w:val="both"/>
        <w:rPr>
          <w:rFonts w:ascii="Times New Roman" w:hAnsi="Times New Roman" w:cs="Times New Roman"/>
          <w:b/>
          <w:bCs/>
          <w:sz w:val="28"/>
          <w:szCs w:val="28"/>
          <w:lang w:val="uk-UA"/>
        </w:rPr>
      </w:pPr>
      <w:r w:rsidRPr="005A7A61">
        <w:rPr>
          <w:rFonts w:ascii="Times New Roman" w:hAnsi="Times New Roman" w:cs="Times New Roman"/>
          <w:sz w:val="28"/>
          <w:szCs w:val="28"/>
          <w:lang w:val="uk-UA"/>
        </w:rPr>
        <w:t>223 особи отримали компенсацію за надання соціальних послуг інвалідам І та ІІ групи та особам, яким виповнилося 80 і більше років на загальну суму 333,0 тис.грн.</w:t>
      </w:r>
    </w:p>
    <w:p w:rsidR="005A7A61" w:rsidRPr="005A7A61" w:rsidRDefault="005A7A61" w:rsidP="00B73C7A">
      <w:pPr>
        <w:spacing w:after="0" w:line="240" w:lineRule="auto"/>
        <w:ind w:firstLine="851"/>
        <w:jc w:val="both"/>
        <w:rPr>
          <w:rFonts w:ascii="Times New Roman" w:hAnsi="Times New Roman" w:cs="Times New Roman"/>
          <w:sz w:val="28"/>
          <w:szCs w:val="28"/>
          <w:lang w:val="uk-UA"/>
        </w:rPr>
      </w:pPr>
      <w:r w:rsidRPr="005A7A61">
        <w:rPr>
          <w:rFonts w:ascii="Times New Roman" w:hAnsi="Times New Roman" w:cs="Times New Roman"/>
          <w:sz w:val="28"/>
          <w:szCs w:val="28"/>
        </w:rPr>
        <w:t xml:space="preserve">Субсидій для відшкодування витрат на оплату житлово-комунальних послуг, придбання скрапленого газу, твердого та </w:t>
      </w:r>
      <w:proofErr w:type="gramStart"/>
      <w:r w:rsidRPr="005A7A61">
        <w:rPr>
          <w:rFonts w:ascii="Times New Roman" w:hAnsi="Times New Roman" w:cs="Times New Roman"/>
          <w:sz w:val="28"/>
          <w:szCs w:val="28"/>
        </w:rPr>
        <w:t>р</w:t>
      </w:r>
      <w:proofErr w:type="gramEnd"/>
      <w:r w:rsidRPr="005A7A61">
        <w:rPr>
          <w:rFonts w:ascii="Times New Roman" w:hAnsi="Times New Roman" w:cs="Times New Roman"/>
          <w:sz w:val="28"/>
          <w:szCs w:val="28"/>
        </w:rPr>
        <w:t>ідкого пічного побутового  палива</w:t>
      </w:r>
      <w:r w:rsidRPr="005A7A61">
        <w:rPr>
          <w:rFonts w:ascii="Times New Roman" w:hAnsi="Times New Roman" w:cs="Times New Roman"/>
          <w:sz w:val="28"/>
          <w:szCs w:val="28"/>
          <w:lang w:val="uk-UA"/>
        </w:rPr>
        <w:t xml:space="preserve"> за 2013 рік</w:t>
      </w:r>
      <w:r w:rsidRPr="005A7A61">
        <w:rPr>
          <w:rFonts w:ascii="Times New Roman" w:hAnsi="Times New Roman" w:cs="Times New Roman"/>
          <w:sz w:val="28"/>
          <w:szCs w:val="28"/>
        </w:rPr>
        <w:t xml:space="preserve"> надано 1881 сім’ї на суму </w:t>
      </w:r>
      <w:r w:rsidRPr="005A7A61">
        <w:rPr>
          <w:rFonts w:ascii="Times New Roman" w:hAnsi="Times New Roman" w:cs="Times New Roman"/>
          <w:sz w:val="28"/>
          <w:szCs w:val="28"/>
          <w:lang w:val="uk-UA"/>
        </w:rPr>
        <w:t>2450</w:t>
      </w:r>
      <w:r w:rsidRPr="005A7A61">
        <w:rPr>
          <w:rFonts w:ascii="Times New Roman" w:hAnsi="Times New Roman" w:cs="Times New Roman"/>
          <w:sz w:val="28"/>
          <w:szCs w:val="28"/>
        </w:rPr>
        <w:t xml:space="preserve"> тис. грн</w:t>
      </w:r>
      <w:r w:rsidRPr="005A7A61">
        <w:rPr>
          <w:rFonts w:ascii="Times New Roman" w:hAnsi="Times New Roman" w:cs="Times New Roman"/>
          <w:sz w:val="28"/>
          <w:szCs w:val="28"/>
          <w:lang w:val="uk-UA"/>
        </w:rPr>
        <w:t>.</w:t>
      </w:r>
      <w:r w:rsidRPr="005A7A61">
        <w:rPr>
          <w:rFonts w:ascii="Times New Roman" w:hAnsi="Times New Roman" w:cs="Times New Roman"/>
          <w:sz w:val="28"/>
          <w:szCs w:val="28"/>
        </w:rPr>
        <w:t xml:space="preserve"> </w:t>
      </w:r>
      <w:r w:rsidRPr="005A7A61">
        <w:rPr>
          <w:rFonts w:ascii="Times New Roman" w:hAnsi="Times New Roman" w:cs="Times New Roman"/>
          <w:sz w:val="28"/>
          <w:szCs w:val="28"/>
          <w:lang w:val="uk-UA"/>
        </w:rPr>
        <w:t xml:space="preserve">За субсидією на тверде паливо та скраплений газ звернулося 576 сімей, та отримали готівки </w:t>
      </w:r>
      <w:r w:rsidR="00154101">
        <w:rPr>
          <w:rFonts w:ascii="Times New Roman" w:hAnsi="Times New Roman" w:cs="Times New Roman"/>
          <w:sz w:val="28"/>
          <w:szCs w:val="28"/>
          <w:lang w:val="uk-UA"/>
        </w:rPr>
        <w:t>на загальну суму 431,4 тис.грн</w:t>
      </w:r>
      <w:r w:rsidRPr="005A7A61">
        <w:rPr>
          <w:rFonts w:ascii="Times New Roman" w:hAnsi="Times New Roman" w:cs="Times New Roman"/>
          <w:sz w:val="28"/>
          <w:szCs w:val="28"/>
          <w:lang w:val="uk-UA"/>
        </w:rPr>
        <w:t xml:space="preserve"> </w:t>
      </w:r>
    </w:p>
    <w:p w:rsidR="005A7A61" w:rsidRPr="005A7A61" w:rsidRDefault="005A7A61" w:rsidP="00B73C7A">
      <w:pPr>
        <w:spacing w:after="0" w:line="240" w:lineRule="auto"/>
        <w:ind w:firstLine="851"/>
        <w:jc w:val="both"/>
        <w:rPr>
          <w:rFonts w:ascii="Times New Roman" w:hAnsi="Times New Roman" w:cs="Times New Roman"/>
          <w:sz w:val="28"/>
          <w:szCs w:val="28"/>
          <w:lang w:val="uk-UA"/>
        </w:rPr>
      </w:pPr>
      <w:r w:rsidRPr="005A7A61">
        <w:rPr>
          <w:rFonts w:ascii="Times New Roman" w:hAnsi="Times New Roman" w:cs="Times New Roman"/>
          <w:noProof/>
          <w:sz w:val="28"/>
          <w:szCs w:val="28"/>
        </w:rPr>
        <w:lastRenderedPageBreak/>
        <w:drawing>
          <wp:inline distT="0" distB="0" distL="0" distR="0">
            <wp:extent cx="5010150" cy="2838450"/>
            <wp:effectExtent l="0" t="0" r="0" b="0"/>
            <wp:docPr id="21"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A7A61" w:rsidRPr="005A7A61" w:rsidRDefault="005A7A61" w:rsidP="005A7A61">
      <w:pPr>
        <w:spacing w:line="240" w:lineRule="auto"/>
        <w:ind w:firstLine="851"/>
        <w:jc w:val="both"/>
        <w:rPr>
          <w:rFonts w:ascii="Times New Roman" w:hAnsi="Times New Roman" w:cs="Times New Roman"/>
          <w:sz w:val="28"/>
          <w:szCs w:val="28"/>
          <w:lang w:val="uk-UA"/>
        </w:rPr>
      </w:pPr>
      <w:r w:rsidRPr="005A7A61">
        <w:rPr>
          <w:rFonts w:ascii="Times New Roman" w:hAnsi="Times New Roman" w:cs="Times New Roman"/>
          <w:sz w:val="28"/>
          <w:szCs w:val="28"/>
          <w:lang w:val="uk-UA"/>
        </w:rPr>
        <w:t>Д</w:t>
      </w:r>
      <w:r w:rsidRPr="005A7A61">
        <w:rPr>
          <w:rFonts w:ascii="Times New Roman" w:hAnsi="Times New Roman" w:cs="Times New Roman"/>
          <w:sz w:val="28"/>
          <w:szCs w:val="28"/>
        </w:rPr>
        <w:t xml:space="preserve">о Єдиного державного автоматизованого реєстру осіб, які мають право на пільги станом на 01.01.2014р. внесено </w:t>
      </w:r>
      <w:r w:rsidRPr="005A7A61">
        <w:rPr>
          <w:rFonts w:ascii="Times New Roman" w:hAnsi="Times New Roman" w:cs="Times New Roman"/>
          <w:sz w:val="28"/>
          <w:szCs w:val="28"/>
          <w:lang w:val="uk-UA"/>
        </w:rPr>
        <w:t>8068</w:t>
      </w:r>
      <w:r w:rsidRPr="005A7A61">
        <w:rPr>
          <w:rFonts w:ascii="Times New Roman" w:hAnsi="Times New Roman" w:cs="Times New Roman"/>
          <w:sz w:val="28"/>
          <w:szCs w:val="28"/>
        </w:rPr>
        <w:t xml:space="preserve"> громадян </w:t>
      </w:r>
      <w:proofErr w:type="gramStart"/>
      <w:r w:rsidRPr="005A7A61">
        <w:rPr>
          <w:rFonts w:ascii="Times New Roman" w:hAnsi="Times New Roman" w:cs="Times New Roman"/>
          <w:sz w:val="28"/>
          <w:szCs w:val="28"/>
        </w:rPr>
        <w:t>п</w:t>
      </w:r>
      <w:proofErr w:type="gramEnd"/>
      <w:r w:rsidRPr="005A7A61">
        <w:rPr>
          <w:rFonts w:ascii="Times New Roman" w:hAnsi="Times New Roman" w:cs="Times New Roman"/>
          <w:sz w:val="28"/>
          <w:szCs w:val="28"/>
        </w:rPr>
        <w:t xml:space="preserve">ільгових категорій. </w:t>
      </w:r>
      <w:r w:rsidRPr="005A7A61">
        <w:rPr>
          <w:rFonts w:ascii="Times New Roman" w:hAnsi="Times New Roman" w:cs="Times New Roman"/>
          <w:sz w:val="28"/>
          <w:szCs w:val="28"/>
          <w:lang w:val="uk-UA"/>
        </w:rPr>
        <w:t xml:space="preserve">    </w:t>
      </w:r>
      <w:proofErr w:type="gramStart"/>
      <w:r w:rsidRPr="005A7A61">
        <w:rPr>
          <w:rFonts w:ascii="Times New Roman" w:hAnsi="Times New Roman" w:cs="Times New Roman"/>
          <w:sz w:val="28"/>
          <w:szCs w:val="28"/>
        </w:rPr>
        <w:t>П</w:t>
      </w:r>
      <w:proofErr w:type="gramEnd"/>
      <w:r w:rsidRPr="005A7A61">
        <w:rPr>
          <w:rFonts w:ascii="Times New Roman" w:hAnsi="Times New Roman" w:cs="Times New Roman"/>
          <w:sz w:val="28"/>
          <w:szCs w:val="28"/>
        </w:rPr>
        <w:t xml:space="preserve">ільговим категоріям громадян надаються пільги на житлово-комунальні послуги, зв’язок, тверде паливо і скраплений газ, проїзд. Фактично </w:t>
      </w:r>
      <w:r w:rsidRPr="005A7A61">
        <w:rPr>
          <w:rFonts w:ascii="Times New Roman" w:hAnsi="Times New Roman" w:cs="Times New Roman"/>
          <w:sz w:val="28"/>
          <w:szCs w:val="28"/>
          <w:lang w:val="uk-UA"/>
        </w:rPr>
        <w:t>нараховано</w:t>
      </w:r>
      <w:r w:rsidRPr="005A7A61">
        <w:rPr>
          <w:rFonts w:ascii="Times New Roman" w:hAnsi="Times New Roman" w:cs="Times New Roman"/>
          <w:sz w:val="28"/>
          <w:szCs w:val="28"/>
        </w:rPr>
        <w:t xml:space="preserve"> на надання </w:t>
      </w:r>
      <w:proofErr w:type="gramStart"/>
      <w:r w:rsidRPr="005A7A61">
        <w:rPr>
          <w:rFonts w:ascii="Times New Roman" w:hAnsi="Times New Roman" w:cs="Times New Roman"/>
          <w:sz w:val="28"/>
          <w:szCs w:val="28"/>
        </w:rPr>
        <w:t>п</w:t>
      </w:r>
      <w:proofErr w:type="gramEnd"/>
      <w:r w:rsidRPr="005A7A61">
        <w:rPr>
          <w:rFonts w:ascii="Times New Roman" w:hAnsi="Times New Roman" w:cs="Times New Roman"/>
          <w:sz w:val="28"/>
          <w:szCs w:val="28"/>
        </w:rPr>
        <w:t xml:space="preserve">ільг </w:t>
      </w:r>
      <w:r w:rsidRPr="005A7A61">
        <w:rPr>
          <w:rFonts w:ascii="Times New Roman" w:hAnsi="Times New Roman" w:cs="Times New Roman"/>
          <w:sz w:val="28"/>
          <w:szCs w:val="28"/>
          <w:lang w:val="uk-UA"/>
        </w:rPr>
        <w:t>4324</w:t>
      </w:r>
      <w:r w:rsidRPr="005A7A61">
        <w:rPr>
          <w:rFonts w:ascii="Times New Roman" w:hAnsi="Times New Roman" w:cs="Times New Roman"/>
          <w:sz w:val="28"/>
          <w:szCs w:val="28"/>
        </w:rPr>
        <w:t xml:space="preserve"> тис. грн.</w:t>
      </w:r>
      <w:r w:rsidRPr="005A7A61">
        <w:rPr>
          <w:rFonts w:ascii="Times New Roman" w:hAnsi="Times New Roman" w:cs="Times New Roman"/>
          <w:sz w:val="28"/>
          <w:szCs w:val="28"/>
          <w:lang w:val="uk-UA"/>
        </w:rPr>
        <w:t xml:space="preserve">, заборгованість підприємствам - надавачам послуг становить на 01.01.2014 року 960 тис.грн.. </w:t>
      </w:r>
    </w:p>
    <w:p w:rsidR="005A7A61" w:rsidRPr="005A7A61" w:rsidRDefault="005A7A61" w:rsidP="005A7A61">
      <w:pPr>
        <w:spacing w:line="240" w:lineRule="auto"/>
        <w:jc w:val="both"/>
        <w:rPr>
          <w:rFonts w:ascii="Times New Roman" w:hAnsi="Times New Roman" w:cs="Times New Roman"/>
          <w:sz w:val="28"/>
          <w:szCs w:val="28"/>
          <w:lang w:val="uk-UA"/>
        </w:rPr>
      </w:pPr>
      <w:r w:rsidRPr="005A7A61">
        <w:rPr>
          <w:rFonts w:ascii="Times New Roman" w:hAnsi="Times New Roman" w:cs="Times New Roman"/>
          <w:noProof/>
          <w:sz w:val="28"/>
          <w:szCs w:val="28"/>
        </w:rPr>
        <w:drawing>
          <wp:inline distT="0" distB="0" distL="0" distR="0">
            <wp:extent cx="5867400" cy="2924175"/>
            <wp:effectExtent l="0" t="0" r="0" b="0"/>
            <wp:docPr id="22"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A7A61" w:rsidRPr="005A7A61" w:rsidRDefault="005A7A61" w:rsidP="005A7A61">
      <w:pPr>
        <w:spacing w:line="240" w:lineRule="auto"/>
        <w:ind w:firstLine="851"/>
        <w:jc w:val="both"/>
        <w:rPr>
          <w:rFonts w:ascii="Times New Roman" w:hAnsi="Times New Roman" w:cs="Times New Roman"/>
          <w:sz w:val="28"/>
          <w:szCs w:val="28"/>
          <w:lang w:val="uk-UA"/>
        </w:rPr>
      </w:pPr>
      <w:r w:rsidRPr="005A7A61">
        <w:rPr>
          <w:rFonts w:ascii="Times New Roman" w:hAnsi="Times New Roman" w:cs="Times New Roman"/>
          <w:sz w:val="28"/>
          <w:szCs w:val="28"/>
          <w:lang w:val="uk-UA"/>
        </w:rPr>
        <w:t>Проведенно безкоштовний капітальний ремонт жилого будинку інваліда Великої Вітчизняної війни Ломейка Василя Йосиповича на загальну суму 10,2 тис.гривень.</w:t>
      </w:r>
    </w:p>
    <w:p w:rsidR="005A7A61" w:rsidRPr="005A7A61" w:rsidRDefault="005A7A61" w:rsidP="005A7A61">
      <w:pPr>
        <w:spacing w:line="240" w:lineRule="auto"/>
        <w:ind w:firstLine="851"/>
        <w:jc w:val="both"/>
        <w:rPr>
          <w:rFonts w:ascii="Times New Roman" w:hAnsi="Times New Roman" w:cs="Times New Roman"/>
          <w:sz w:val="28"/>
          <w:szCs w:val="28"/>
          <w:lang w:val="uk-UA"/>
        </w:rPr>
      </w:pPr>
      <w:r w:rsidRPr="005A7A61">
        <w:rPr>
          <w:rFonts w:ascii="Times New Roman" w:hAnsi="Times New Roman" w:cs="Times New Roman"/>
          <w:sz w:val="28"/>
          <w:szCs w:val="28"/>
          <w:lang w:val="uk-UA"/>
        </w:rPr>
        <w:t>Пільгове перевезення в районі проводять 2 приватних перевізники Юрченко Ю.І. та Олексенко Н.В., які протягом року надали послуги 4558 особам, які мають право на пільговий проїзд. За 2013 рік за надані послуги їм нараховано 330,4 тис.грн.. Заборгованість на 01.01.2014 року становить 89,3 тис.грн..</w:t>
      </w:r>
    </w:p>
    <w:p w:rsidR="005A7A61" w:rsidRPr="005A7A61" w:rsidRDefault="005A7A61" w:rsidP="00154101">
      <w:pPr>
        <w:spacing w:after="0" w:line="240" w:lineRule="auto"/>
        <w:ind w:firstLine="851"/>
        <w:jc w:val="both"/>
        <w:rPr>
          <w:rFonts w:ascii="Times New Roman" w:hAnsi="Times New Roman" w:cs="Times New Roman"/>
          <w:sz w:val="28"/>
          <w:szCs w:val="28"/>
          <w:lang w:val="uk-UA"/>
        </w:rPr>
      </w:pPr>
      <w:r w:rsidRPr="005A7A61">
        <w:rPr>
          <w:rFonts w:ascii="Times New Roman" w:hAnsi="Times New Roman" w:cs="Times New Roman"/>
          <w:sz w:val="28"/>
          <w:szCs w:val="28"/>
          <w:lang w:val="uk-UA"/>
        </w:rPr>
        <w:lastRenderedPageBreak/>
        <w:t>Протягом 2013 року 438 сім’ям пільгових категорій громадян надано адресної грошової допомоги на придбання твердого палива та 394 на придбання скрапленого газу на загальну суму 282,8 тис.грн..</w:t>
      </w:r>
    </w:p>
    <w:p w:rsidR="005A7A61" w:rsidRPr="005A7A61" w:rsidRDefault="005A7A61" w:rsidP="00154101">
      <w:pPr>
        <w:pStyle w:val="210"/>
        <w:spacing w:line="240" w:lineRule="auto"/>
        <w:ind w:firstLine="720"/>
        <w:rPr>
          <w:b w:val="0"/>
          <w:bCs/>
          <w:sz w:val="28"/>
          <w:szCs w:val="28"/>
          <w:lang w:val="ru-RU"/>
        </w:rPr>
      </w:pPr>
      <w:r w:rsidRPr="005A7A61">
        <w:rPr>
          <w:b w:val="0"/>
          <w:bCs/>
          <w:sz w:val="28"/>
          <w:szCs w:val="28"/>
          <w:lang w:val="ru-RU"/>
        </w:rPr>
        <w:t xml:space="preserve">  На компенсаційні виплати громадян, які постраждали внаслідок аварії на ЧАЕС за 2013 </w:t>
      </w:r>
      <w:proofErr w:type="gramStart"/>
      <w:r w:rsidRPr="005A7A61">
        <w:rPr>
          <w:b w:val="0"/>
          <w:bCs/>
          <w:sz w:val="28"/>
          <w:szCs w:val="28"/>
          <w:lang w:val="ru-RU"/>
        </w:rPr>
        <w:t>р</w:t>
      </w:r>
      <w:proofErr w:type="gramEnd"/>
      <w:r w:rsidRPr="005A7A61">
        <w:rPr>
          <w:b w:val="0"/>
          <w:bCs/>
          <w:sz w:val="28"/>
          <w:szCs w:val="28"/>
          <w:lang w:val="ru-RU"/>
        </w:rPr>
        <w:t>ік профінансовано кошти в сумі 537,3 тис. грн.</w:t>
      </w:r>
    </w:p>
    <w:p w:rsidR="005A7A61" w:rsidRPr="005A7A61" w:rsidRDefault="005A7A61" w:rsidP="00154101">
      <w:pPr>
        <w:pStyle w:val="210"/>
        <w:spacing w:line="240" w:lineRule="auto"/>
        <w:ind w:firstLine="720"/>
        <w:rPr>
          <w:b w:val="0"/>
          <w:bCs/>
          <w:sz w:val="28"/>
          <w:szCs w:val="28"/>
          <w:lang w:val="uk-UA"/>
        </w:rPr>
      </w:pPr>
      <w:r w:rsidRPr="005A7A61">
        <w:rPr>
          <w:b w:val="0"/>
          <w:bCs/>
          <w:sz w:val="28"/>
          <w:szCs w:val="28"/>
          <w:lang w:val="uk-UA"/>
        </w:rPr>
        <w:t>Упродовж 2013 року 11 багатодітним матерям, які народили та виховали до 8-річного віку 5 і більше дітей та указом Президента України присвоєно почесне звання України „Мати-героїня” виплачена одноразова винагорода на загальну суму 126,2 тис.гривень.</w:t>
      </w:r>
    </w:p>
    <w:p w:rsidR="005A7A61" w:rsidRPr="005A7A61" w:rsidRDefault="005A7A61" w:rsidP="00154101">
      <w:pPr>
        <w:spacing w:after="0" w:line="240" w:lineRule="auto"/>
        <w:ind w:firstLine="709"/>
        <w:jc w:val="both"/>
        <w:rPr>
          <w:rFonts w:ascii="Times New Roman" w:hAnsi="Times New Roman" w:cs="Times New Roman"/>
          <w:sz w:val="28"/>
          <w:szCs w:val="28"/>
          <w:lang w:val="uk-UA"/>
        </w:rPr>
      </w:pPr>
      <w:r w:rsidRPr="005A7A61">
        <w:rPr>
          <w:rFonts w:ascii="Times New Roman" w:hAnsi="Times New Roman" w:cs="Times New Roman"/>
          <w:sz w:val="28"/>
          <w:szCs w:val="28"/>
          <w:lang w:val="uk-UA"/>
        </w:rPr>
        <w:t>Сумською обласною радою 27.12.2011 затверджено обласну „Програму соціальної підтримки у 2012-2016 роках сімей загиблих учасників бойових дій на території Республіки Афганістан”. Відповідно до з нею 2 матерям району, діти яких загинули на території Афганістану, надається щомісячна соціальна допомога в розмірі 250 гривень.  Та з 2012 року вони користуються пільгою в розмірі 50% на житлово – комунальні послуги.</w:t>
      </w:r>
    </w:p>
    <w:p w:rsidR="005A7A61" w:rsidRPr="005A7A61" w:rsidRDefault="005A7A61" w:rsidP="00154101">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 xml:space="preserve">З метою посилення соціального захисту та соціальної підтримки ветеранів війни та праці, учасників бойових дій на території інших держав, інвалідів, громадян, що постраждали внаслідок ядерних катастроф, задоволення їх життєвих потреб та сприяння в  роботі районних громадських організацій по виконанню ними статутних завдань на 2012 - 2015 роки розроблені та затверджені Програми підтримки районної громадської організації ветеранів, </w:t>
      </w:r>
      <w:r w:rsidRPr="005A7A61">
        <w:rPr>
          <w:rFonts w:ascii="Times New Roman" w:hAnsi="Times New Roman" w:cs="Times New Roman"/>
          <w:bCs/>
          <w:color w:val="000000"/>
          <w:spacing w:val="6"/>
          <w:sz w:val="28"/>
          <w:szCs w:val="28"/>
          <w:lang w:val="uk-UA"/>
        </w:rPr>
        <w:t xml:space="preserve">громадської  організації  інвалідів, </w:t>
      </w:r>
      <w:r w:rsidRPr="005A7A61">
        <w:rPr>
          <w:rFonts w:ascii="Times New Roman" w:hAnsi="Times New Roman" w:cs="Times New Roman"/>
          <w:bCs/>
          <w:color w:val="000000"/>
          <w:spacing w:val="-3"/>
          <w:sz w:val="28"/>
          <w:szCs w:val="28"/>
          <w:lang w:val="uk-UA"/>
        </w:rPr>
        <w:t xml:space="preserve">районної спілки ветеранів Афганістану, </w:t>
      </w:r>
      <w:r w:rsidRPr="005A7A61">
        <w:rPr>
          <w:rFonts w:ascii="Times New Roman" w:hAnsi="Times New Roman" w:cs="Times New Roman"/>
          <w:bCs/>
          <w:color w:val="000000"/>
          <w:spacing w:val="-1"/>
          <w:sz w:val="28"/>
          <w:szCs w:val="28"/>
          <w:lang w:val="uk-UA"/>
        </w:rPr>
        <w:t>районного  осередку Всеукраїнської  громадської</w:t>
      </w:r>
      <w:r w:rsidRPr="005A7A61">
        <w:rPr>
          <w:rFonts w:ascii="Times New Roman" w:hAnsi="Times New Roman" w:cs="Times New Roman"/>
          <w:bCs/>
          <w:color w:val="000000"/>
          <w:sz w:val="28"/>
          <w:szCs w:val="28"/>
          <w:lang w:val="uk-UA"/>
        </w:rPr>
        <w:t xml:space="preserve">  організації інвалідів “Союз Чорнобиль України” та передбачено кошти на їх фінансування. У 2013 році профінансовано громадську організацію ветеранів війни та праці в сумі 6,6 тис.грн.., громадську організацію інвалідів – 4,7 тис.грн.., фінансування </w:t>
      </w:r>
      <w:r w:rsidRPr="005A7A61">
        <w:rPr>
          <w:rFonts w:ascii="Times New Roman" w:hAnsi="Times New Roman" w:cs="Times New Roman"/>
          <w:bCs/>
          <w:color w:val="000000"/>
          <w:spacing w:val="-3"/>
          <w:sz w:val="28"/>
          <w:szCs w:val="28"/>
          <w:lang w:val="uk-UA"/>
        </w:rPr>
        <w:t xml:space="preserve">районної спілки ветеранів Афганістану та </w:t>
      </w:r>
      <w:r w:rsidRPr="005A7A61">
        <w:rPr>
          <w:rFonts w:ascii="Times New Roman" w:hAnsi="Times New Roman" w:cs="Times New Roman"/>
          <w:bCs/>
          <w:color w:val="000000"/>
          <w:spacing w:val="-1"/>
          <w:sz w:val="28"/>
          <w:szCs w:val="28"/>
          <w:lang w:val="uk-UA"/>
        </w:rPr>
        <w:t>районного  осередку Всеукраїнської  громадської</w:t>
      </w:r>
      <w:r w:rsidRPr="005A7A61">
        <w:rPr>
          <w:rFonts w:ascii="Times New Roman" w:hAnsi="Times New Roman" w:cs="Times New Roman"/>
          <w:bCs/>
          <w:color w:val="000000"/>
          <w:sz w:val="28"/>
          <w:szCs w:val="28"/>
          <w:lang w:val="uk-UA"/>
        </w:rPr>
        <w:t xml:space="preserve">  організації інвалідів “Союз Чорнобиль України”  фінансування не проводилось.</w:t>
      </w:r>
    </w:p>
    <w:p w:rsidR="005A7A61" w:rsidRPr="005A7A61" w:rsidRDefault="005A7A61" w:rsidP="00154101">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 xml:space="preserve">Розпорядженням голови Недригайлівської районної державної адміністрації від 03.05.2012 №337-ОД з метою підвищення ефективності системи надання громадянам соціальної підтримки за принципом «єдиного вікна» при управлінні праці та соціального захисту населення Недригайлівської районної державної адміністрації створено «мобільний соціальний офіс» для здійснення виїзного обслуговування населення району з питань соціального захисту  та пенсійного забезпечення. </w:t>
      </w:r>
      <w:r w:rsidRPr="005A7A61">
        <w:rPr>
          <w:rFonts w:ascii="Times New Roman" w:hAnsi="Times New Roman" w:cs="Times New Roman"/>
          <w:bCs/>
          <w:sz w:val="28"/>
          <w:szCs w:val="28"/>
        </w:rPr>
        <w:t>Протягом  2013 року згідно затвердженого графіку проведені виїзди  у 25 населених пунктів району та прийнято 564 особи</w:t>
      </w:r>
      <w:proofErr w:type="gramStart"/>
      <w:r w:rsidRPr="005A7A61">
        <w:rPr>
          <w:rFonts w:ascii="Times New Roman" w:hAnsi="Times New Roman" w:cs="Times New Roman"/>
          <w:bCs/>
          <w:sz w:val="28"/>
          <w:szCs w:val="28"/>
        </w:rPr>
        <w:t>.</w:t>
      </w:r>
      <w:proofErr w:type="gramEnd"/>
      <w:r w:rsidRPr="005A7A61">
        <w:rPr>
          <w:rFonts w:ascii="Times New Roman" w:hAnsi="Times New Roman" w:cs="Times New Roman"/>
          <w:bCs/>
          <w:sz w:val="28"/>
          <w:szCs w:val="28"/>
          <w:lang w:val="uk-UA"/>
        </w:rPr>
        <w:t xml:space="preserve"> (</w:t>
      </w:r>
      <w:proofErr w:type="gramStart"/>
      <w:r w:rsidRPr="005A7A61">
        <w:rPr>
          <w:rFonts w:ascii="Times New Roman" w:hAnsi="Times New Roman" w:cs="Times New Roman"/>
          <w:bCs/>
          <w:sz w:val="28"/>
          <w:szCs w:val="28"/>
          <w:lang w:val="uk-UA"/>
        </w:rPr>
        <w:t>д</w:t>
      </w:r>
      <w:proofErr w:type="gramEnd"/>
      <w:r w:rsidRPr="005A7A61">
        <w:rPr>
          <w:rFonts w:ascii="Times New Roman" w:hAnsi="Times New Roman" w:cs="Times New Roman"/>
          <w:bCs/>
          <w:sz w:val="28"/>
          <w:szCs w:val="28"/>
          <w:lang w:val="uk-UA"/>
        </w:rPr>
        <w:t>одаток 5).</w:t>
      </w:r>
    </w:p>
    <w:p w:rsidR="005A7A61" w:rsidRPr="005A7A61" w:rsidRDefault="005A7A61" w:rsidP="00154101">
      <w:pPr>
        <w:spacing w:after="0" w:line="240" w:lineRule="auto"/>
        <w:ind w:firstLine="709"/>
        <w:jc w:val="both"/>
        <w:rPr>
          <w:rFonts w:ascii="Times New Roman" w:hAnsi="Times New Roman" w:cs="Times New Roman"/>
          <w:bCs/>
          <w:color w:val="000000"/>
          <w:sz w:val="28"/>
          <w:szCs w:val="28"/>
          <w:lang w:val="uk-UA"/>
        </w:rPr>
      </w:pPr>
      <w:r w:rsidRPr="005A7A61">
        <w:rPr>
          <w:rFonts w:ascii="Times New Roman" w:hAnsi="Times New Roman" w:cs="Times New Roman"/>
          <w:bCs/>
          <w:sz w:val="28"/>
          <w:szCs w:val="28"/>
        </w:rPr>
        <w:t>Не залишились поза увагою особи з інвалідністю, які потребують забезпечення технічними засобами реабілітації та кріслами колісними.</w:t>
      </w:r>
      <w:r w:rsidRPr="005A7A61">
        <w:rPr>
          <w:rFonts w:ascii="Times New Roman" w:hAnsi="Times New Roman" w:cs="Times New Roman"/>
          <w:bCs/>
          <w:sz w:val="28"/>
          <w:szCs w:val="28"/>
          <w:lang w:val="uk-UA"/>
        </w:rPr>
        <w:t xml:space="preserve"> </w:t>
      </w:r>
      <w:r w:rsidRPr="005A7A61">
        <w:rPr>
          <w:rFonts w:ascii="Times New Roman" w:hAnsi="Times New Roman" w:cs="Times New Roman"/>
          <w:bCs/>
          <w:sz w:val="28"/>
          <w:szCs w:val="28"/>
        </w:rPr>
        <w:t>Всі анкети на забезпечення засобами пересування та реабілітації занесені до Централізованого банку даних з проблем інвалідності, направлення на отримання  виробі</w:t>
      </w:r>
      <w:proofErr w:type="gramStart"/>
      <w:r w:rsidRPr="005A7A61">
        <w:rPr>
          <w:rFonts w:ascii="Times New Roman" w:hAnsi="Times New Roman" w:cs="Times New Roman"/>
          <w:bCs/>
          <w:sz w:val="28"/>
          <w:szCs w:val="28"/>
        </w:rPr>
        <w:t>в</w:t>
      </w:r>
      <w:proofErr w:type="gramEnd"/>
      <w:r w:rsidRPr="005A7A61">
        <w:rPr>
          <w:rFonts w:ascii="Times New Roman" w:hAnsi="Times New Roman" w:cs="Times New Roman"/>
          <w:bCs/>
          <w:sz w:val="28"/>
          <w:szCs w:val="28"/>
        </w:rPr>
        <w:t xml:space="preserve"> направлені на заводи виробники. Протягом 2013 року  </w:t>
      </w:r>
      <w:r w:rsidRPr="005A7A61">
        <w:rPr>
          <w:rFonts w:ascii="Times New Roman" w:hAnsi="Times New Roman" w:cs="Times New Roman"/>
          <w:bCs/>
          <w:color w:val="000000"/>
          <w:sz w:val="28"/>
          <w:szCs w:val="28"/>
        </w:rPr>
        <w:t xml:space="preserve">протезно - ортопедичними виробами  та ортопедичним взуттям забезпечено </w:t>
      </w:r>
      <w:r w:rsidRPr="005A7A61">
        <w:rPr>
          <w:rFonts w:ascii="Times New Roman" w:hAnsi="Times New Roman" w:cs="Times New Roman"/>
          <w:bCs/>
          <w:color w:val="000000"/>
          <w:sz w:val="28"/>
          <w:szCs w:val="28"/>
        </w:rPr>
        <w:lastRenderedPageBreak/>
        <w:t>96 чоловік, кріслами колісними - 11,  палицями – 22, ходунами - 1, допоміжними засобами для особистої гі</w:t>
      </w:r>
      <w:proofErr w:type="gramStart"/>
      <w:r w:rsidRPr="005A7A61">
        <w:rPr>
          <w:rFonts w:ascii="Times New Roman" w:hAnsi="Times New Roman" w:cs="Times New Roman"/>
          <w:bCs/>
          <w:color w:val="000000"/>
          <w:sz w:val="28"/>
          <w:szCs w:val="28"/>
        </w:rPr>
        <w:t>г</w:t>
      </w:r>
      <w:proofErr w:type="gramEnd"/>
      <w:r w:rsidRPr="005A7A61">
        <w:rPr>
          <w:rFonts w:ascii="Times New Roman" w:hAnsi="Times New Roman" w:cs="Times New Roman"/>
          <w:bCs/>
          <w:color w:val="000000"/>
          <w:sz w:val="28"/>
          <w:szCs w:val="28"/>
        </w:rPr>
        <w:t>ієни - 2 та меблями –1.</w:t>
      </w:r>
    </w:p>
    <w:p w:rsidR="005A7A61" w:rsidRPr="005A7A61" w:rsidRDefault="005A7A61" w:rsidP="00154101">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У 2013 році 6 інвалідам та непрацюючим малозабезпеченим особам надано одноразової грошової допомоги на суму 2,7 тис.грн..</w:t>
      </w:r>
    </w:p>
    <w:p w:rsidR="005A7A61" w:rsidRPr="005A7A61" w:rsidRDefault="005A7A61" w:rsidP="00154101">
      <w:pPr>
        <w:spacing w:after="0" w:line="240" w:lineRule="auto"/>
        <w:ind w:firstLine="709"/>
        <w:jc w:val="both"/>
        <w:rPr>
          <w:rFonts w:ascii="Times New Roman" w:hAnsi="Times New Roman" w:cs="Times New Roman"/>
          <w:bCs/>
          <w:sz w:val="28"/>
          <w:szCs w:val="28"/>
        </w:rPr>
      </w:pPr>
      <w:r w:rsidRPr="005A7A61">
        <w:rPr>
          <w:rFonts w:ascii="Times New Roman" w:hAnsi="Times New Roman" w:cs="Times New Roman"/>
          <w:bCs/>
          <w:sz w:val="28"/>
          <w:szCs w:val="28"/>
        </w:rPr>
        <w:t xml:space="preserve">Протягом 2013 року управлінням проводилася робота щодо </w:t>
      </w:r>
      <w:proofErr w:type="gramStart"/>
      <w:r w:rsidRPr="005A7A61">
        <w:rPr>
          <w:rFonts w:ascii="Times New Roman" w:hAnsi="Times New Roman" w:cs="Times New Roman"/>
          <w:bCs/>
          <w:sz w:val="28"/>
          <w:szCs w:val="28"/>
        </w:rPr>
        <w:t>п</w:t>
      </w:r>
      <w:proofErr w:type="gramEnd"/>
      <w:r w:rsidRPr="005A7A61">
        <w:rPr>
          <w:rFonts w:ascii="Times New Roman" w:hAnsi="Times New Roman" w:cs="Times New Roman"/>
          <w:bCs/>
          <w:sz w:val="28"/>
          <w:szCs w:val="28"/>
        </w:rPr>
        <w:t>ідвищення зайнятості населення та розвитку ринку праці, реалізації районної програми зайнятості населення.</w:t>
      </w:r>
    </w:p>
    <w:p w:rsidR="005A7A61" w:rsidRPr="005A7A61" w:rsidRDefault="005A7A61" w:rsidP="00154101">
      <w:pPr>
        <w:spacing w:after="0" w:line="240" w:lineRule="auto"/>
        <w:ind w:firstLine="709"/>
        <w:jc w:val="both"/>
        <w:rPr>
          <w:rFonts w:ascii="Times New Roman" w:hAnsi="Times New Roman" w:cs="Times New Roman"/>
          <w:bCs/>
          <w:sz w:val="28"/>
          <w:szCs w:val="28"/>
        </w:rPr>
      </w:pPr>
      <w:r w:rsidRPr="005A7A61">
        <w:rPr>
          <w:rFonts w:ascii="Times New Roman" w:hAnsi="Times New Roman" w:cs="Times New Roman"/>
          <w:bCs/>
          <w:sz w:val="28"/>
          <w:szCs w:val="28"/>
        </w:rPr>
        <w:t xml:space="preserve">Управлінням праці та </w:t>
      </w:r>
      <w:proofErr w:type="gramStart"/>
      <w:r w:rsidRPr="005A7A61">
        <w:rPr>
          <w:rFonts w:ascii="Times New Roman" w:hAnsi="Times New Roman" w:cs="Times New Roman"/>
          <w:bCs/>
          <w:sz w:val="28"/>
          <w:szCs w:val="28"/>
        </w:rPr>
        <w:t>соц</w:t>
      </w:r>
      <w:proofErr w:type="gramEnd"/>
      <w:r w:rsidRPr="005A7A61">
        <w:rPr>
          <w:rFonts w:ascii="Times New Roman" w:hAnsi="Times New Roman" w:cs="Times New Roman"/>
          <w:bCs/>
          <w:sz w:val="28"/>
          <w:szCs w:val="28"/>
        </w:rPr>
        <w:t xml:space="preserve">іального захисту населення Недригайлівської районної державної адміністрації забезпечено проведення в районі моніторингу створення робочих місць. </w:t>
      </w:r>
    </w:p>
    <w:p w:rsidR="005A7A61" w:rsidRPr="005A7A61" w:rsidRDefault="005A7A61" w:rsidP="00154101">
      <w:pPr>
        <w:spacing w:after="0" w:line="240" w:lineRule="auto"/>
        <w:ind w:firstLine="709"/>
        <w:jc w:val="both"/>
        <w:rPr>
          <w:rFonts w:ascii="Times New Roman" w:hAnsi="Times New Roman" w:cs="Times New Roman"/>
          <w:bCs/>
          <w:sz w:val="28"/>
          <w:szCs w:val="28"/>
        </w:rPr>
      </w:pPr>
      <w:r w:rsidRPr="005A7A61">
        <w:rPr>
          <w:rFonts w:ascii="Times New Roman" w:hAnsi="Times New Roman" w:cs="Times New Roman"/>
          <w:bCs/>
          <w:sz w:val="28"/>
          <w:szCs w:val="28"/>
        </w:rPr>
        <w:t xml:space="preserve">Згідно районної програми зайнятості на період до 2017 року у районі затверджено на поточний </w:t>
      </w:r>
      <w:proofErr w:type="gramStart"/>
      <w:r w:rsidRPr="005A7A61">
        <w:rPr>
          <w:rFonts w:ascii="Times New Roman" w:hAnsi="Times New Roman" w:cs="Times New Roman"/>
          <w:bCs/>
          <w:sz w:val="28"/>
          <w:szCs w:val="28"/>
        </w:rPr>
        <w:t>р</w:t>
      </w:r>
      <w:proofErr w:type="gramEnd"/>
      <w:r w:rsidRPr="005A7A61">
        <w:rPr>
          <w:rFonts w:ascii="Times New Roman" w:hAnsi="Times New Roman" w:cs="Times New Roman"/>
          <w:bCs/>
          <w:sz w:val="28"/>
          <w:szCs w:val="28"/>
        </w:rPr>
        <w:t xml:space="preserve">ік завдання з розширення сфери застосування праці за рахунок створення 315 нових робочих місць. </w:t>
      </w:r>
    </w:p>
    <w:p w:rsidR="005A7A61" w:rsidRPr="005A7A61" w:rsidRDefault="005A7A61" w:rsidP="00154101">
      <w:pPr>
        <w:spacing w:after="0" w:line="240" w:lineRule="auto"/>
        <w:ind w:firstLine="709"/>
        <w:jc w:val="both"/>
        <w:rPr>
          <w:rFonts w:ascii="Times New Roman" w:hAnsi="Times New Roman" w:cs="Times New Roman"/>
          <w:bCs/>
          <w:sz w:val="28"/>
          <w:szCs w:val="28"/>
        </w:rPr>
      </w:pPr>
      <w:r w:rsidRPr="005A7A61">
        <w:rPr>
          <w:rFonts w:ascii="Times New Roman" w:hAnsi="Times New Roman" w:cs="Times New Roman"/>
          <w:bCs/>
          <w:sz w:val="28"/>
          <w:szCs w:val="28"/>
        </w:rPr>
        <w:t xml:space="preserve">Протягом січня – грудня 2013 року створені нові робочі місця для  484 працівників, що становить  153,7 %  </w:t>
      </w:r>
      <w:proofErr w:type="gramStart"/>
      <w:r w:rsidRPr="005A7A61">
        <w:rPr>
          <w:rFonts w:ascii="Times New Roman" w:hAnsi="Times New Roman" w:cs="Times New Roman"/>
          <w:bCs/>
          <w:sz w:val="28"/>
          <w:szCs w:val="28"/>
        </w:rPr>
        <w:t>р</w:t>
      </w:r>
      <w:proofErr w:type="gramEnd"/>
      <w:r w:rsidRPr="005A7A61">
        <w:rPr>
          <w:rFonts w:ascii="Times New Roman" w:hAnsi="Times New Roman" w:cs="Times New Roman"/>
          <w:bCs/>
          <w:sz w:val="28"/>
          <w:szCs w:val="28"/>
        </w:rPr>
        <w:t xml:space="preserve">ічної контрольної цифри. </w:t>
      </w:r>
    </w:p>
    <w:p w:rsidR="005A7A61" w:rsidRPr="005A7A61" w:rsidRDefault="005A7A61" w:rsidP="00154101">
      <w:pPr>
        <w:spacing w:after="0" w:line="240" w:lineRule="auto"/>
        <w:jc w:val="both"/>
        <w:rPr>
          <w:rFonts w:ascii="Times New Roman" w:hAnsi="Times New Roman" w:cs="Times New Roman"/>
          <w:bCs/>
          <w:sz w:val="28"/>
          <w:szCs w:val="28"/>
          <w:lang w:val="uk-UA"/>
        </w:rPr>
      </w:pPr>
      <w:r w:rsidRPr="005A7A61">
        <w:rPr>
          <w:rFonts w:ascii="Times New Roman" w:hAnsi="Times New Roman" w:cs="Times New Roman"/>
          <w:noProof/>
          <w:sz w:val="28"/>
          <w:szCs w:val="28"/>
        </w:rPr>
        <w:drawing>
          <wp:inline distT="0" distB="0" distL="0" distR="0">
            <wp:extent cx="5972175" cy="3038475"/>
            <wp:effectExtent l="0" t="0" r="0" b="0"/>
            <wp:docPr id="23"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83EDA" w:rsidRDefault="00583EDA" w:rsidP="00033AC8">
      <w:pPr>
        <w:spacing w:after="0" w:line="240" w:lineRule="auto"/>
        <w:ind w:firstLine="709"/>
        <w:jc w:val="both"/>
        <w:rPr>
          <w:rFonts w:ascii="Times New Roman" w:hAnsi="Times New Roman" w:cs="Times New Roman"/>
          <w:bCs/>
          <w:sz w:val="28"/>
          <w:szCs w:val="28"/>
          <w:lang w:val="uk-UA"/>
        </w:rPr>
      </w:pPr>
    </w:p>
    <w:p w:rsidR="005A7A61" w:rsidRPr="005A7A61" w:rsidRDefault="005A7A61" w:rsidP="00033AC8">
      <w:pPr>
        <w:spacing w:after="0" w:line="240" w:lineRule="auto"/>
        <w:ind w:firstLine="709"/>
        <w:jc w:val="both"/>
        <w:rPr>
          <w:rFonts w:ascii="Times New Roman" w:hAnsi="Times New Roman" w:cs="Times New Roman"/>
          <w:bCs/>
          <w:color w:val="000000"/>
          <w:sz w:val="28"/>
          <w:szCs w:val="28"/>
          <w:lang w:val="uk-UA"/>
        </w:rPr>
      </w:pPr>
      <w:r w:rsidRPr="005A7A61">
        <w:rPr>
          <w:rFonts w:ascii="Times New Roman" w:hAnsi="Times New Roman" w:cs="Times New Roman"/>
          <w:bCs/>
          <w:sz w:val="28"/>
          <w:szCs w:val="28"/>
          <w:lang w:val="uk-UA"/>
        </w:rPr>
        <w:t xml:space="preserve">172 нових робочих місця, або 35,5 % від загального обсягу, створено для найманих працівників у фізичних осіб-підприємців, 50 (10,3 %) – це зареєстровані фізичні особи-підприємці, 262 нових робочих місця, 54,1 %, </w:t>
      </w:r>
      <w:r w:rsidRPr="005A7A61">
        <w:rPr>
          <w:rFonts w:ascii="Times New Roman" w:hAnsi="Times New Roman" w:cs="Times New Roman"/>
          <w:bCs/>
          <w:color w:val="000000"/>
          <w:sz w:val="28"/>
          <w:szCs w:val="28"/>
          <w:lang w:val="uk-UA"/>
        </w:rPr>
        <w:t>створено у юридичних осіб.</w:t>
      </w:r>
    </w:p>
    <w:p w:rsidR="005A7A61" w:rsidRPr="005A7A61" w:rsidRDefault="005A7A61" w:rsidP="00033AC8">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За сферами економічної діяльності створені нові робочі місця   розподілилися таким чином: сільське господарство 96 або 19,8 % від загального обсягу новостворених, охорона здоров’я – 163 (33,7 %), торгівля – 120 (24,8 %), переробна промисловість – 42 (8,7 %), державне управління – 15 (3,1 %), надання інших виді послуг – 14 (2,9 %), транспорт, складське господарство поштова та кур’єрська діяльність – 18 (3,7 %), освіта – 2 (0,4 %), професійна, наукова та технічна діяльність – 2 (0,4 %), тимчасове розміщення та організація харчування – 3 (0,6 %), будівництво – 8 (1,7 %), мистецтво, спорт, розваги та відпочинок – 1 (0,2%).</w:t>
      </w:r>
    </w:p>
    <w:p w:rsidR="005A7A61" w:rsidRPr="005A7A61" w:rsidRDefault="005A7A61" w:rsidP="00033AC8">
      <w:pPr>
        <w:spacing w:after="0" w:line="240" w:lineRule="auto"/>
        <w:ind w:firstLine="709"/>
        <w:jc w:val="both"/>
        <w:rPr>
          <w:rFonts w:ascii="Times New Roman" w:hAnsi="Times New Roman" w:cs="Times New Roman"/>
          <w:bCs/>
          <w:sz w:val="28"/>
          <w:szCs w:val="28"/>
        </w:rPr>
      </w:pPr>
      <w:r w:rsidRPr="005A7A61">
        <w:rPr>
          <w:rFonts w:ascii="Times New Roman" w:hAnsi="Times New Roman" w:cs="Times New Roman"/>
          <w:bCs/>
          <w:sz w:val="28"/>
          <w:szCs w:val="28"/>
        </w:rPr>
        <w:lastRenderedPageBreak/>
        <w:t xml:space="preserve">Одночасно станом на 1 січня 2014 року в районі </w:t>
      </w:r>
      <w:proofErr w:type="gramStart"/>
      <w:r w:rsidRPr="005A7A61">
        <w:rPr>
          <w:rFonts w:ascii="Times New Roman" w:hAnsi="Times New Roman" w:cs="Times New Roman"/>
          <w:bCs/>
          <w:sz w:val="28"/>
          <w:szCs w:val="28"/>
        </w:rPr>
        <w:t>л</w:t>
      </w:r>
      <w:proofErr w:type="gramEnd"/>
      <w:r w:rsidRPr="005A7A61">
        <w:rPr>
          <w:rFonts w:ascii="Times New Roman" w:hAnsi="Times New Roman" w:cs="Times New Roman"/>
          <w:bCs/>
          <w:sz w:val="28"/>
          <w:szCs w:val="28"/>
        </w:rPr>
        <w:t xml:space="preserve">іквідовано 218 робочих місць. </w:t>
      </w:r>
      <w:proofErr w:type="gramStart"/>
      <w:r w:rsidRPr="005A7A61">
        <w:rPr>
          <w:rFonts w:ascii="Times New Roman" w:hAnsi="Times New Roman" w:cs="Times New Roman"/>
          <w:bCs/>
          <w:sz w:val="28"/>
          <w:szCs w:val="28"/>
        </w:rPr>
        <w:t>З</w:t>
      </w:r>
      <w:proofErr w:type="gramEnd"/>
      <w:r w:rsidRPr="005A7A61">
        <w:rPr>
          <w:rFonts w:ascii="Times New Roman" w:hAnsi="Times New Roman" w:cs="Times New Roman"/>
          <w:bCs/>
          <w:sz w:val="28"/>
          <w:szCs w:val="28"/>
        </w:rPr>
        <w:t xml:space="preserve"> їх числа ліквідовано у малому бізнесі – 158 або 72,5 %, серед юридичних осіб – 12 (5,5 %) решта – 48 (22,0 %) – серед фізичних осіб-підприємців.</w:t>
      </w:r>
    </w:p>
    <w:p w:rsidR="005A7A61" w:rsidRPr="005A7A61" w:rsidRDefault="005A7A61" w:rsidP="00033AC8">
      <w:pPr>
        <w:spacing w:after="0" w:line="240" w:lineRule="auto"/>
        <w:ind w:firstLine="709"/>
        <w:jc w:val="both"/>
        <w:rPr>
          <w:rFonts w:ascii="Times New Roman" w:hAnsi="Times New Roman" w:cs="Times New Roman"/>
          <w:bCs/>
          <w:sz w:val="28"/>
          <w:szCs w:val="28"/>
        </w:rPr>
      </w:pPr>
      <w:r w:rsidRPr="005A7A61">
        <w:rPr>
          <w:rFonts w:ascii="Times New Roman" w:hAnsi="Times New Roman" w:cs="Times New Roman"/>
          <w:bCs/>
          <w:sz w:val="28"/>
          <w:szCs w:val="28"/>
        </w:rPr>
        <w:t xml:space="preserve">На постійному контролі управління праці та </w:t>
      </w:r>
      <w:proofErr w:type="gramStart"/>
      <w:r w:rsidRPr="005A7A61">
        <w:rPr>
          <w:rFonts w:ascii="Times New Roman" w:hAnsi="Times New Roman" w:cs="Times New Roman"/>
          <w:bCs/>
          <w:sz w:val="28"/>
          <w:szCs w:val="28"/>
        </w:rPr>
        <w:t>соц</w:t>
      </w:r>
      <w:proofErr w:type="gramEnd"/>
      <w:r w:rsidRPr="005A7A61">
        <w:rPr>
          <w:rFonts w:ascii="Times New Roman" w:hAnsi="Times New Roman" w:cs="Times New Roman"/>
          <w:bCs/>
          <w:sz w:val="28"/>
          <w:szCs w:val="28"/>
        </w:rPr>
        <w:t xml:space="preserve">іального захисту населення Недригайлівської районної державної адміністрації знаходиться питання своєчасної виплати заробітної плати та погашення заборгованості з неї. </w:t>
      </w:r>
    </w:p>
    <w:p w:rsidR="005A7A61" w:rsidRPr="005A7A61" w:rsidRDefault="005A7A61" w:rsidP="00033AC8">
      <w:pPr>
        <w:pStyle w:val="a9"/>
        <w:spacing w:after="0" w:line="240" w:lineRule="auto"/>
        <w:jc w:val="both"/>
        <w:rPr>
          <w:rFonts w:ascii="Times New Roman" w:hAnsi="Times New Roman" w:cs="Times New Roman"/>
          <w:sz w:val="28"/>
          <w:szCs w:val="28"/>
        </w:rPr>
      </w:pPr>
      <w:r w:rsidRPr="005A7A61">
        <w:rPr>
          <w:rFonts w:ascii="Times New Roman" w:hAnsi="Times New Roman" w:cs="Times New Roman"/>
          <w:sz w:val="28"/>
          <w:szCs w:val="28"/>
        </w:rPr>
        <w:tab/>
        <w:t xml:space="preserve">Протягом останніх років </w:t>
      </w:r>
      <w:proofErr w:type="gramStart"/>
      <w:r w:rsidRPr="005A7A61">
        <w:rPr>
          <w:rFonts w:ascii="Times New Roman" w:hAnsi="Times New Roman" w:cs="Times New Roman"/>
          <w:sz w:val="28"/>
          <w:szCs w:val="28"/>
        </w:rPr>
        <w:t>в</w:t>
      </w:r>
      <w:proofErr w:type="gramEnd"/>
      <w:r w:rsidRPr="005A7A61">
        <w:rPr>
          <w:rFonts w:ascii="Times New Roman" w:hAnsi="Times New Roman" w:cs="Times New Roman"/>
          <w:sz w:val="28"/>
          <w:szCs w:val="28"/>
        </w:rPr>
        <w:t xml:space="preserve"> районі спостерігається стійка тенденція до зростання середньомісячної заробітної плати на підприємствах, в установах і організаціях району.</w:t>
      </w:r>
    </w:p>
    <w:p w:rsidR="005A7A61" w:rsidRPr="005A7A61" w:rsidRDefault="005A7A61" w:rsidP="00033AC8">
      <w:pPr>
        <w:pStyle w:val="21"/>
        <w:spacing w:after="0"/>
        <w:rPr>
          <w:b/>
          <w:bCs/>
          <w:szCs w:val="28"/>
        </w:rPr>
      </w:pPr>
      <w:r w:rsidRPr="005A7A61">
        <w:rPr>
          <w:szCs w:val="28"/>
        </w:rPr>
        <w:t xml:space="preserve">У 2012 році її розмір зріс на 368 грн., або на 22,2 % у порівняні з попереднім роком і склав 2027 гривень. </w:t>
      </w:r>
    </w:p>
    <w:p w:rsidR="005A7A61" w:rsidRPr="005A7A61" w:rsidRDefault="005A7A61" w:rsidP="00033AC8">
      <w:pPr>
        <w:pStyle w:val="21"/>
        <w:spacing w:after="0"/>
        <w:ind w:firstLine="0"/>
        <w:rPr>
          <w:b/>
          <w:bCs/>
          <w:szCs w:val="28"/>
        </w:rPr>
      </w:pPr>
      <w:r w:rsidRPr="005A7A61">
        <w:rPr>
          <w:noProof/>
          <w:szCs w:val="28"/>
          <w:lang w:val="ru-RU" w:eastAsia="ru-RU"/>
        </w:rPr>
        <w:drawing>
          <wp:inline distT="0" distB="0" distL="0" distR="0">
            <wp:extent cx="6048375" cy="2943225"/>
            <wp:effectExtent l="0" t="0" r="0" b="0"/>
            <wp:docPr id="24"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A7A61" w:rsidRPr="005A7A61" w:rsidRDefault="005A7A61" w:rsidP="00033AC8">
      <w:pPr>
        <w:pStyle w:val="21"/>
        <w:spacing w:after="0"/>
        <w:rPr>
          <w:szCs w:val="28"/>
        </w:rPr>
      </w:pPr>
      <w:r w:rsidRPr="005A7A61">
        <w:rPr>
          <w:szCs w:val="28"/>
        </w:rPr>
        <w:t>Розмір середньомісячної заробітної плати штатних працівників району за січень – грудень 2013 року зріс в порівняні з відповідним періодом минулого року на 363 гривні, або на 17,9 відсотка і становить 2390 гривень, що становить 88,5 відсотка до середньообласного рівня і 104,2% до рівня, передбаченого програмою економічного і соціального розвитку району. За темпами росту середньомісячної заробітної плати Недригайлівський район посідає перше рейтингове місце серед міст та районів області.</w:t>
      </w:r>
    </w:p>
    <w:p w:rsidR="005A7A61" w:rsidRPr="005A7A61" w:rsidRDefault="005A7A61" w:rsidP="00033AC8">
      <w:pPr>
        <w:pStyle w:val="21"/>
        <w:spacing w:after="0"/>
        <w:rPr>
          <w:b/>
          <w:szCs w:val="28"/>
        </w:rPr>
      </w:pPr>
      <w:r w:rsidRPr="005A7A61">
        <w:rPr>
          <w:szCs w:val="28"/>
        </w:rPr>
        <w:t xml:space="preserve">З метою здійснення державного контролю за дотриманням трудового законодавства в частині своєчасності виплати заробітної плати та дотримання мінімальних державних гарантій в оплаті праці, спеціалістами управління праці та соціального захисту населення, в межах наданих повноважень, у першому півріччі 2013 року здійснено 21 вивчення стану дотримання підприємствами, установами, організаціями та фізичними особами – підприємцями чинного законодавства про працю. За результатами шести вивчень виявлені порушення трудового законодавства. </w:t>
      </w:r>
    </w:p>
    <w:p w:rsidR="005A7A61" w:rsidRPr="005A7A61" w:rsidRDefault="005A7A61" w:rsidP="00033AC8">
      <w:pPr>
        <w:spacing w:after="0" w:line="240" w:lineRule="auto"/>
        <w:ind w:firstLine="709"/>
        <w:jc w:val="both"/>
        <w:rPr>
          <w:rFonts w:ascii="Times New Roman" w:hAnsi="Times New Roman" w:cs="Times New Roman"/>
          <w:sz w:val="28"/>
          <w:szCs w:val="28"/>
          <w:lang w:val="uk-UA"/>
        </w:rPr>
      </w:pPr>
      <w:r w:rsidRPr="005A7A61">
        <w:rPr>
          <w:rFonts w:ascii="Times New Roman" w:hAnsi="Times New Roman" w:cs="Times New Roman"/>
          <w:sz w:val="28"/>
          <w:szCs w:val="28"/>
        </w:rPr>
        <w:t xml:space="preserve">Протягом 2013 року заборгованості із заробітної плати на </w:t>
      </w:r>
      <w:proofErr w:type="gramStart"/>
      <w:r w:rsidRPr="005A7A61">
        <w:rPr>
          <w:rFonts w:ascii="Times New Roman" w:hAnsi="Times New Roman" w:cs="Times New Roman"/>
          <w:sz w:val="28"/>
          <w:szCs w:val="28"/>
        </w:rPr>
        <w:t>п</w:t>
      </w:r>
      <w:proofErr w:type="gramEnd"/>
      <w:r w:rsidRPr="005A7A61">
        <w:rPr>
          <w:rFonts w:ascii="Times New Roman" w:hAnsi="Times New Roman" w:cs="Times New Roman"/>
          <w:sz w:val="28"/>
          <w:szCs w:val="28"/>
        </w:rPr>
        <w:t>ідприємствах, в установах і організаціях Недригайлівського району не було.</w:t>
      </w:r>
    </w:p>
    <w:p w:rsidR="005A7A61" w:rsidRPr="005A7A61" w:rsidRDefault="005A7A61" w:rsidP="00033AC8">
      <w:pPr>
        <w:spacing w:after="0" w:line="240" w:lineRule="auto"/>
        <w:jc w:val="both"/>
        <w:rPr>
          <w:rFonts w:ascii="Times New Roman" w:hAnsi="Times New Roman" w:cs="Times New Roman"/>
          <w:sz w:val="28"/>
          <w:szCs w:val="28"/>
          <w:lang w:val="uk-UA"/>
        </w:rPr>
      </w:pPr>
      <w:r w:rsidRPr="005A7A61">
        <w:rPr>
          <w:rFonts w:ascii="Times New Roman" w:hAnsi="Times New Roman" w:cs="Times New Roman"/>
          <w:noProof/>
          <w:sz w:val="28"/>
          <w:szCs w:val="28"/>
        </w:rPr>
        <w:lastRenderedPageBreak/>
        <w:drawing>
          <wp:inline distT="0" distB="0" distL="0" distR="0">
            <wp:extent cx="5676900" cy="2943225"/>
            <wp:effectExtent l="0" t="0" r="0" b="0"/>
            <wp:docPr id="25"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A7A61" w:rsidRPr="005A7A61" w:rsidRDefault="005A7A61" w:rsidP="00033AC8">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С</w:t>
      </w:r>
      <w:r w:rsidRPr="005A7A61">
        <w:rPr>
          <w:rFonts w:ascii="Times New Roman" w:hAnsi="Times New Roman" w:cs="Times New Roman"/>
          <w:bCs/>
          <w:sz w:val="28"/>
          <w:szCs w:val="28"/>
        </w:rPr>
        <w:t xml:space="preserve">таном на 01 січня  2014 року виникла заборгованість із виплати заробітної плати на підприємствах  району, яка становить 33,7 тис. гривень. Дана заборгованість </w:t>
      </w:r>
      <w:proofErr w:type="gramStart"/>
      <w:r w:rsidRPr="005A7A61">
        <w:rPr>
          <w:rFonts w:ascii="Times New Roman" w:hAnsi="Times New Roman" w:cs="Times New Roman"/>
          <w:bCs/>
          <w:sz w:val="28"/>
          <w:szCs w:val="28"/>
        </w:rPr>
        <w:t>обл</w:t>
      </w:r>
      <w:proofErr w:type="gramEnd"/>
      <w:r w:rsidRPr="005A7A61">
        <w:rPr>
          <w:rFonts w:ascii="Times New Roman" w:hAnsi="Times New Roman" w:cs="Times New Roman"/>
          <w:bCs/>
          <w:sz w:val="28"/>
          <w:szCs w:val="28"/>
        </w:rPr>
        <w:t>іковується за товариством з обмеженою відповідальністю “Технологія Л.Р.М.”</w:t>
      </w:r>
      <w:r w:rsidRPr="005A7A61">
        <w:rPr>
          <w:rFonts w:ascii="Times New Roman" w:hAnsi="Times New Roman" w:cs="Times New Roman"/>
          <w:bCs/>
          <w:sz w:val="28"/>
          <w:szCs w:val="28"/>
          <w:lang w:val="uk-UA"/>
        </w:rPr>
        <w:t xml:space="preserve"> Адміністрацію цього підприємства узгоджений з трудовим колективом графік  погашення заборгованості з виплати заробітної плати.</w:t>
      </w:r>
    </w:p>
    <w:p w:rsidR="005A7A61" w:rsidRPr="005A7A61" w:rsidRDefault="005A7A61" w:rsidP="00033AC8">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rPr>
        <w:t>Поряд з цим не вирішеною проблемою залишається тіньова зайнятість. Це – використання роботодавцями праці найманих працівників без узаконення трудових відносин, виплата заробітної плати в «конвертах» – тобто нелегальне використання праці найманих працівникі</w:t>
      </w:r>
      <w:proofErr w:type="gramStart"/>
      <w:r w:rsidRPr="005A7A61">
        <w:rPr>
          <w:rFonts w:ascii="Times New Roman" w:hAnsi="Times New Roman" w:cs="Times New Roman"/>
          <w:bCs/>
          <w:sz w:val="28"/>
          <w:szCs w:val="28"/>
        </w:rPr>
        <w:t>в</w:t>
      </w:r>
      <w:proofErr w:type="gramEnd"/>
      <w:r w:rsidRPr="005A7A61">
        <w:rPr>
          <w:rFonts w:ascii="Times New Roman" w:hAnsi="Times New Roman" w:cs="Times New Roman"/>
          <w:bCs/>
          <w:sz w:val="28"/>
          <w:szCs w:val="28"/>
        </w:rPr>
        <w:t>.</w:t>
      </w:r>
    </w:p>
    <w:p w:rsidR="005A7A61" w:rsidRPr="005A7A61" w:rsidRDefault="005A7A61" w:rsidP="00033AC8">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З метою сприяння здійсненню повноважень райдержадміністрації щодо реалізації державної політики в галузі зайнятості населення, праці та заробітної плати, попередження податкових та економічних порушень в районі створена робоча група з питань легалізації виплати заробітної плати та зайнятості населення.</w:t>
      </w:r>
    </w:p>
    <w:p w:rsidR="005A7A61" w:rsidRPr="005A7A61" w:rsidRDefault="005A7A61" w:rsidP="00033AC8">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Протягом року відбулося п’ять засідань робочої групи на яких було заслухано тринадцять фізичних осіб – суб’єктів підприємницької діяльності з аналізом причин виникнення ситуацій, пов’язаних з оформленням трудових відносин з неповною зайнятістю та нелегальною виплатою заробітної плати. В результаті прийнятих рішень документально оформлено 16 найманих працівників.</w:t>
      </w:r>
    </w:p>
    <w:p w:rsidR="005A7A61" w:rsidRPr="005A7A61" w:rsidRDefault="005A7A61" w:rsidP="00033AC8">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З метою забезпечення ефективної реалізації державної політики в галузі соціального захисту працівників та умов праці на підприємствах, в організаціях та установах району в управлінні створена і постійно підтримується в належному стані база даних підприємств, установ та організацій, на яких є робочі місця з несприятливими умовами праці.</w:t>
      </w:r>
    </w:p>
    <w:p w:rsidR="005A7A61" w:rsidRPr="005A7A61" w:rsidRDefault="005A7A61" w:rsidP="00033AC8">
      <w:pPr>
        <w:spacing w:after="0" w:line="240" w:lineRule="auto"/>
        <w:ind w:firstLine="709"/>
        <w:jc w:val="both"/>
        <w:rPr>
          <w:rFonts w:ascii="Times New Roman" w:hAnsi="Times New Roman" w:cs="Times New Roman"/>
          <w:bCs/>
          <w:sz w:val="28"/>
          <w:szCs w:val="28"/>
        </w:rPr>
      </w:pPr>
      <w:r w:rsidRPr="005A7A61">
        <w:rPr>
          <w:rFonts w:ascii="Times New Roman" w:hAnsi="Times New Roman" w:cs="Times New Roman"/>
          <w:bCs/>
          <w:sz w:val="28"/>
          <w:szCs w:val="28"/>
        </w:rPr>
        <w:t>Станом на 01.</w:t>
      </w:r>
      <w:r w:rsidRPr="005A7A61">
        <w:rPr>
          <w:rFonts w:ascii="Times New Roman" w:hAnsi="Times New Roman" w:cs="Times New Roman"/>
          <w:bCs/>
          <w:sz w:val="28"/>
          <w:szCs w:val="28"/>
          <w:lang w:val="uk-UA"/>
        </w:rPr>
        <w:t>01.</w:t>
      </w:r>
      <w:r w:rsidRPr="005A7A61">
        <w:rPr>
          <w:rFonts w:ascii="Times New Roman" w:hAnsi="Times New Roman" w:cs="Times New Roman"/>
          <w:bCs/>
          <w:sz w:val="28"/>
          <w:szCs w:val="28"/>
        </w:rPr>
        <w:t xml:space="preserve">2014 року на </w:t>
      </w:r>
      <w:proofErr w:type="gramStart"/>
      <w:r w:rsidRPr="005A7A61">
        <w:rPr>
          <w:rFonts w:ascii="Times New Roman" w:hAnsi="Times New Roman" w:cs="Times New Roman"/>
          <w:bCs/>
          <w:sz w:val="28"/>
          <w:szCs w:val="28"/>
        </w:rPr>
        <w:t>п</w:t>
      </w:r>
      <w:proofErr w:type="gramEnd"/>
      <w:r w:rsidRPr="005A7A61">
        <w:rPr>
          <w:rFonts w:ascii="Times New Roman" w:hAnsi="Times New Roman" w:cs="Times New Roman"/>
          <w:bCs/>
          <w:sz w:val="28"/>
          <w:szCs w:val="28"/>
        </w:rPr>
        <w:t xml:space="preserve">ідприємствах з несприятливими умовами праці зайнято 341 працівник на 51 підприємстві району, всім  працівникам встановлено право на пільги та компенсації. Атестацію робочих місць провели всі підприємства району. </w:t>
      </w:r>
      <w:proofErr w:type="gramStart"/>
      <w:r w:rsidRPr="005A7A61">
        <w:rPr>
          <w:rFonts w:ascii="Times New Roman" w:hAnsi="Times New Roman" w:cs="Times New Roman"/>
          <w:bCs/>
          <w:sz w:val="28"/>
          <w:szCs w:val="28"/>
        </w:rPr>
        <w:t>Р</w:t>
      </w:r>
      <w:proofErr w:type="gramEnd"/>
      <w:r w:rsidRPr="005A7A61">
        <w:rPr>
          <w:rFonts w:ascii="Times New Roman" w:hAnsi="Times New Roman" w:cs="Times New Roman"/>
          <w:bCs/>
          <w:sz w:val="28"/>
          <w:szCs w:val="28"/>
        </w:rPr>
        <w:t xml:space="preserve">івень проведення атестації робочих </w:t>
      </w:r>
      <w:r w:rsidRPr="005A7A61">
        <w:rPr>
          <w:rFonts w:ascii="Times New Roman" w:hAnsi="Times New Roman" w:cs="Times New Roman"/>
          <w:bCs/>
          <w:sz w:val="28"/>
          <w:szCs w:val="28"/>
        </w:rPr>
        <w:lastRenderedPageBreak/>
        <w:t>місць за умовами праці в нашому районі на 0,6 відсоткових пункти вище середньообласного показника.</w:t>
      </w:r>
    </w:p>
    <w:p w:rsidR="005A7A61" w:rsidRPr="005A7A61" w:rsidRDefault="005A7A61" w:rsidP="00033AC8">
      <w:pPr>
        <w:spacing w:after="0" w:line="240" w:lineRule="auto"/>
        <w:ind w:firstLine="709"/>
        <w:jc w:val="both"/>
        <w:rPr>
          <w:rFonts w:ascii="Times New Roman" w:hAnsi="Times New Roman" w:cs="Times New Roman"/>
          <w:bCs/>
          <w:sz w:val="28"/>
          <w:szCs w:val="28"/>
        </w:rPr>
      </w:pPr>
      <w:r w:rsidRPr="005A7A61">
        <w:rPr>
          <w:rFonts w:ascii="Times New Roman" w:hAnsi="Times New Roman" w:cs="Times New Roman"/>
          <w:bCs/>
          <w:sz w:val="28"/>
          <w:szCs w:val="28"/>
        </w:rPr>
        <w:t xml:space="preserve">Протягом 2013 року по питанню проведення атестації робочих місць головним спеціалістом управління проведено 55 перевірок </w:t>
      </w:r>
      <w:proofErr w:type="gramStart"/>
      <w:r w:rsidRPr="005A7A61">
        <w:rPr>
          <w:rFonts w:ascii="Times New Roman" w:hAnsi="Times New Roman" w:cs="Times New Roman"/>
          <w:bCs/>
          <w:sz w:val="28"/>
          <w:szCs w:val="28"/>
        </w:rPr>
        <w:t>п</w:t>
      </w:r>
      <w:proofErr w:type="gramEnd"/>
      <w:r w:rsidRPr="005A7A61">
        <w:rPr>
          <w:rFonts w:ascii="Times New Roman" w:hAnsi="Times New Roman" w:cs="Times New Roman"/>
          <w:bCs/>
          <w:sz w:val="28"/>
          <w:szCs w:val="28"/>
        </w:rPr>
        <w:t>ідприємств і організацій різних форм власності. За результатами перевірок видано 11 приписів.</w:t>
      </w:r>
    </w:p>
    <w:p w:rsidR="005A7A61" w:rsidRPr="005A7A61" w:rsidRDefault="005A7A61" w:rsidP="00033AC8">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 xml:space="preserve">В районі проводиться робота в сфері колективно - договірного регулювання виробничих і трудових відносин, налагодженні соціального партнерства. </w:t>
      </w:r>
    </w:p>
    <w:p w:rsidR="005A7A61" w:rsidRPr="005A7A61" w:rsidRDefault="005A7A61" w:rsidP="00033AC8">
      <w:pPr>
        <w:spacing w:after="0" w:line="240" w:lineRule="auto"/>
        <w:ind w:firstLine="709"/>
        <w:jc w:val="both"/>
        <w:rPr>
          <w:rFonts w:ascii="Times New Roman" w:hAnsi="Times New Roman" w:cs="Times New Roman"/>
          <w:bCs/>
          <w:sz w:val="28"/>
          <w:szCs w:val="28"/>
        </w:rPr>
      </w:pPr>
      <w:r w:rsidRPr="005A7A61">
        <w:rPr>
          <w:rFonts w:ascii="Times New Roman" w:hAnsi="Times New Roman" w:cs="Times New Roman"/>
          <w:bCs/>
          <w:sz w:val="28"/>
          <w:szCs w:val="28"/>
        </w:rPr>
        <w:t xml:space="preserve">На звітну дату кількість зареєстрованих колективних договорів і угод становить 93, з них на 2013 </w:t>
      </w:r>
      <w:proofErr w:type="gramStart"/>
      <w:r w:rsidRPr="005A7A61">
        <w:rPr>
          <w:rFonts w:ascii="Times New Roman" w:hAnsi="Times New Roman" w:cs="Times New Roman"/>
          <w:bCs/>
          <w:sz w:val="28"/>
          <w:szCs w:val="28"/>
        </w:rPr>
        <w:t>р</w:t>
      </w:r>
      <w:proofErr w:type="gramEnd"/>
      <w:r w:rsidRPr="005A7A61">
        <w:rPr>
          <w:rFonts w:ascii="Times New Roman" w:hAnsi="Times New Roman" w:cs="Times New Roman"/>
          <w:bCs/>
          <w:sz w:val="28"/>
          <w:szCs w:val="28"/>
        </w:rPr>
        <w:t xml:space="preserve">ік – 71, тобто 76,3 відсотка. </w:t>
      </w:r>
    </w:p>
    <w:p w:rsidR="005A7A61" w:rsidRPr="005A7A61" w:rsidRDefault="005A7A61" w:rsidP="00033AC8">
      <w:pPr>
        <w:spacing w:after="0" w:line="240" w:lineRule="auto"/>
        <w:ind w:firstLine="709"/>
        <w:jc w:val="both"/>
        <w:rPr>
          <w:rFonts w:ascii="Times New Roman" w:hAnsi="Times New Roman" w:cs="Times New Roman"/>
          <w:bCs/>
          <w:sz w:val="28"/>
          <w:szCs w:val="28"/>
          <w:lang w:val="uk-UA"/>
        </w:rPr>
      </w:pPr>
      <w:r w:rsidRPr="005A7A61">
        <w:rPr>
          <w:rFonts w:ascii="Times New Roman" w:hAnsi="Times New Roman" w:cs="Times New Roman"/>
          <w:bCs/>
          <w:sz w:val="28"/>
          <w:szCs w:val="28"/>
          <w:lang w:val="uk-UA"/>
        </w:rPr>
        <w:t>Протягом звітного періоду зареєстровано 39 колективних договорів, 7 змін та доповнень до них. Під захистом колективних договорів знаходяться 100 % штатних працівників. Рівень охоплення колективно – договірним регулюванням працівників нашого району вище середньообласного показника.</w:t>
      </w:r>
    </w:p>
    <w:p w:rsidR="005A7A61" w:rsidRDefault="005A7A61" w:rsidP="00033AC8">
      <w:pPr>
        <w:spacing w:after="0"/>
        <w:ind w:firstLine="709"/>
        <w:jc w:val="both"/>
        <w:rPr>
          <w:bCs/>
        </w:rPr>
      </w:pPr>
      <w:r>
        <w:rPr>
          <w:bCs/>
        </w:rPr>
        <w:tab/>
      </w:r>
    </w:p>
    <w:p w:rsidR="000F307C" w:rsidRPr="00F24FDE" w:rsidRDefault="00F24FDE" w:rsidP="00F24FDE">
      <w:pPr>
        <w:spacing w:after="120" w:line="240" w:lineRule="auto"/>
        <w:jc w:val="center"/>
        <w:rPr>
          <w:rFonts w:ascii="Times New Roman" w:hAnsi="Times New Roman" w:cs="Times New Roman"/>
          <w:b/>
          <w:sz w:val="28"/>
          <w:szCs w:val="28"/>
          <w:lang w:val="uk-UA"/>
        </w:rPr>
      </w:pPr>
      <w:r w:rsidRPr="00F24FDE">
        <w:rPr>
          <w:rFonts w:ascii="Times New Roman" w:hAnsi="Times New Roman" w:cs="Times New Roman"/>
          <w:b/>
          <w:sz w:val="28"/>
          <w:szCs w:val="28"/>
          <w:lang w:val="uk-UA"/>
        </w:rPr>
        <w:t>13. Ринок праці</w:t>
      </w:r>
    </w:p>
    <w:p w:rsidR="00F24FDE" w:rsidRPr="00F24FDE" w:rsidRDefault="00F24FDE" w:rsidP="00F24FDE">
      <w:pPr>
        <w:spacing w:after="0" w:line="240" w:lineRule="auto"/>
        <w:ind w:firstLine="374"/>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В 2013 році Недригайлівський районний центр  працював в обстановці реформування, викликаним прийняттям нового Закону України "Про зайнятість населення", утворенням Центрального органу виконавчої влади, що реалізує державну політику у сфері зайнятості населення та трудової міграції, а також частковою зміною умов діяльності Державної служби зайнятості України, відповідно до нормативно-правових актів, прийнятих на виконання Закону.</w:t>
      </w:r>
    </w:p>
    <w:p w:rsidR="00F24FDE" w:rsidRPr="00F24FDE" w:rsidRDefault="00F24FDE" w:rsidP="00F24FDE">
      <w:pPr>
        <w:pStyle w:val="23"/>
        <w:spacing w:after="0" w:line="240" w:lineRule="auto"/>
        <w:ind w:firstLine="374"/>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Діяльність районного центру зайнятості щодо реалізації державної політики зайнятості в районі проводиться у співпраці з органами виконавчої влади, місцевого самоврядування, роботодавців та профспілок,  що дає можливість забезпечити розробку і планування надання послуг незайнятому населенню, здійснити інтегрований підхід до надання цих послуг, підвищити їх ефективність.</w:t>
      </w:r>
    </w:p>
    <w:p w:rsidR="00F24FDE" w:rsidRPr="00F24FDE" w:rsidRDefault="00F24FDE" w:rsidP="00F24FDE">
      <w:pPr>
        <w:pStyle w:val="23"/>
        <w:spacing w:after="0" w:line="240" w:lineRule="auto"/>
        <w:ind w:firstLine="374"/>
        <w:rPr>
          <w:rFonts w:ascii="Times New Roman" w:hAnsi="Times New Roman" w:cs="Times New Roman"/>
          <w:sz w:val="28"/>
          <w:szCs w:val="28"/>
        </w:rPr>
      </w:pPr>
      <w:r w:rsidRPr="00F24FDE">
        <w:rPr>
          <w:rFonts w:ascii="Times New Roman" w:hAnsi="Times New Roman" w:cs="Times New Roman"/>
          <w:sz w:val="28"/>
          <w:szCs w:val="28"/>
          <w:lang w:val="uk-UA"/>
        </w:rPr>
        <w:t xml:space="preserve">За 2013 рік з питань працевлаштування </w:t>
      </w:r>
      <w:r w:rsidRPr="00F24FDE">
        <w:rPr>
          <w:rFonts w:ascii="Times New Roman" w:hAnsi="Times New Roman" w:cs="Times New Roman"/>
          <w:sz w:val="28"/>
          <w:szCs w:val="28"/>
        </w:rPr>
        <w:t>до центру</w:t>
      </w:r>
      <w:r w:rsidRPr="00F24FDE">
        <w:rPr>
          <w:rFonts w:ascii="Times New Roman" w:hAnsi="Times New Roman" w:cs="Times New Roman"/>
          <w:sz w:val="28"/>
          <w:szCs w:val="28"/>
          <w:lang w:val="uk-UA"/>
        </w:rPr>
        <w:t xml:space="preserve"> зайнятості </w:t>
      </w:r>
      <w:r w:rsidRPr="00F24FDE">
        <w:rPr>
          <w:rFonts w:ascii="Times New Roman" w:hAnsi="Times New Roman" w:cs="Times New Roman"/>
          <w:sz w:val="28"/>
          <w:szCs w:val="28"/>
        </w:rPr>
        <w:t xml:space="preserve">звернулося  </w:t>
      </w:r>
      <w:r w:rsidRPr="00F24FDE">
        <w:rPr>
          <w:rFonts w:ascii="Times New Roman" w:hAnsi="Times New Roman" w:cs="Times New Roman"/>
          <w:sz w:val="28"/>
          <w:szCs w:val="28"/>
          <w:lang w:val="uk-UA"/>
        </w:rPr>
        <w:t xml:space="preserve">1226 </w:t>
      </w:r>
      <w:r w:rsidRPr="00F24FDE">
        <w:rPr>
          <w:rFonts w:ascii="Times New Roman" w:hAnsi="Times New Roman" w:cs="Times New Roman"/>
          <w:sz w:val="28"/>
          <w:szCs w:val="28"/>
        </w:rPr>
        <w:t>чоловік.</w:t>
      </w:r>
    </w:p>
    <w:p w:rsidR="00F24FDE" w:rsidRPr="00F24FDE" w:rsidRDefault="00F24FDE" w:rsidP="00F24FDE">
      <w:pPr>
        <w:pStyle w:val="23"/>
        <w:spacing w:after="0" w:line="240" w:lineRule="auto"/>
        <w:ind w:left="360"/>
        <w:rPr>
          <w:rFonts w:ascii="Times New Roman" w:hAnsi="Times New Roman" w:cs="Times New Roman"/>
          <w:b/>
          <w:sz w:val="28"/>
          <w:szCs w:val="28"/>
          <w:u w:val="single"/>
          <w:lang w:val="uk-UA"/>
        </w:rPr>
      </w:pPr>
      <w:r w:rsidRPr="00F24FDE">
        <w:rPr>
          <w:rFonts w:ascii="Times New Roman" w:hAnsi="Times New Roman" w:cs="Times New Roman"/>
          <w:b/>
          <w:sz w:val="28"/>
          <w:szCs w:val="28"/>
          <w:u w:val="single"/>
          <w:lang w:val="uk-UA"/>
        </w:rPr>
        <w:t xml:space="preserve">З перебуваючих на обліку: </w:t>
      </w:r>
      <w:r w:rsidRPr="00F24FDE">
        <w:rPr>
          <w:rFonts w:ascii="Times New Roman" w:hAnsi="Times New Roman" w:cs="Times New Roman"/>
          <w:b/>
          <w:sz w:val="28"/>
          <w:szCs w:val="28"/>
          <w:u w:val="single"/>
        </w:rPr>
        <w:t xml:space="preserve"> </w:t>
      </w:r>
    </w:p>
    <w:p w:rsidR="00F24FDE" w:rsidRPr="00F24FDE" w:rsidRDefault="00F24FDE" w:rsidP="00F24FDE">
      <w:pPr>
        <w:pStyle w:val="23"/>
        <w:spacing w:after="0" w:line="240" w:lineRule="auto"/>
        <w:ind w:left="360"/>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Жін</w:t>
      </w:r>
      <w:r w:rsidRPr="00F24FDE">
        <w:rPr>
          <w:rFonts w:ascii="Times New Roman" w:hAnsi="Times New Roman" w:cs="Times New Roman"/>
          <w:sz w:val="28"/>
          <w:szCs w:val="28"/>
          <w:lang w:val="uk-UA"/>
        </w:rPr>
        <w:t>о</w:t>
      </w:r>
      <w:r w:rsidRPr="00F24FDE">
        <w:rPr>
          <w:rFonts w:ascii="Times New Roman" w:hAnsi="Times New Roman" w:cs="Times New Roman"/>
          <w:sz w:val="28"/>
          <w:szCs w:val="28"/>
        </w:rPr>
        <w:t>к</w:t>
      </w:r>
      <w:r w:rsidRPr="00F24FDE">
        <w:rPr>
          <w:rFonts w:ascii="Times New Roman" w:hAnsi="Times New Roman" w:cs="Times New Roman"/>
          <w:sz w:val="28"/>
          <w:szCs w:val="28"/>
          <w:lang w:val="uk-UA"/>
        </w:rPr>
        <w:t xml:space="preserve"> - 488  або 40 %</w:t>
      </w:r>
    </w:p>
    <w:p w:rsidR="00F24FDE" w:rsidRPr="00F24FDE" w:rsidRDefault="00F24FDE" w:rsidP="00F24FDE">
      <w:pPr>
        <w:pStyle w:val="23"/>
        <w:spacing w:after="0" w:line="240" w:lineRule="auto"/>
        <w:ind w:firstLine="374"/>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молодь у віці до 3</w:t>
      </w:r>
      <w:r w:rsidRPr="00F24FDE">
        <w:rPr>
          <w:rFonts w:ascii="Times New Roman" w:hAnsi="Times New Roman" w:cs="Times New Roman"/>
          <w:sz w:val="28"/>
          <w:szCs w:val="28"/>
          <w:lang w:val="uk-UA"/>
        </w:rPr>
        <w:t>5</w:t>
      </w:r>
      <w:r w:rsidRPr="00F24FDE">
        <w:rPr>
          <w:rFonts w:ascii="Times New Roman" w:hAnsi="Times New Roman" w:cs="Times New Roman"/>
          <w:sz w:val="28"/>
          <w:szCs w:val="28"/>
        </w:rPr>
        <w:t xml:space="preserve"> років</w:t>
      </w:r>
      <w:r w:rsidRPr="00F24FDE">
        <w:rPr>
          <w:rFonts w:ascii="Times New Roman" w:hAnsi="Times New Roman" w:cs="Times New Roman"/>
          <w:sz w:val="28"/>
          <w:szCs w:val="28"/>
          <w:lang w:val="uk-UA"/>
        </w:rPr>
        <w:t xml:space="preserve"> - 404 або 33 %</w:t>
      </w:r>
    </w:p>
    <w:p w:rsidR="00F24FDE" w:rsidRPr="00F24FDE" w:rsidRDefault="00F24FDE" w:rsidP="00F24FDE">
      <w:pPr>
        <w:pStyle w:val="23"/>
        <w:spacing w:after="0" w:line="240" w:lineRule="auto"/>
        <w:rPr>
          <w:rFonts w:ascii="Times New Roman" w:hAnsi="Times New Roman" w:cs="Times New Roman"/>
          <w:b/>
          <w:sz w:val="28"/>
          <w:szCs w:val="28"/>
          <w:lang w:val="uk-UA"/>
        </w:rPr>
      </w:pPr>
      <w:r w:rsidRPr="00F24FDE">
        <w:rPr>
          <w:rFonts w:ascii="Times New Roman" w:hAnsi="Times New Roman" w:cs="Times New Roman"/>
          <w:b/>
          <w:sz w:val="28"/>
          <w:szCs w:val="28"/>
          <w:lang w:val="uk-UA"/>
        </w:rPr>
        <w:t xml:space="preserve">      особи</w:t>
      </w:r>
      <w:r w:rsidRPr="00F24FDE">
        <w:rPr>
          <w:rFonts w:ascii="Times New Roman" w:hAnsi="Times New Roman" w:cs="Times New Roman"/>
          <w:b/>
          <w:sz w:val="28"/>
          <w:szCs w:val="28"/>
        </w:rPr>
        <w:t xml:space="preserve">, які </w:t>
      </w:r>
      <w:r w:rsidRPr="00F24FDE">
        <w:rPr>
          <w:rFonts w:ascii="Times New Roman" w:hAnsi="Times New Roman" w:cs="Times New Roman"/>
          <w:b/>
          <w:sz w:val="28"/>
          <w:szCs w:val="28"/>
          <w:lang w:val="uk-UA"/>
        </w:rPr>
        <w:t>займали:</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 xml:space="preserve"> </w:t>
      </w:r>
      <w:r w:rsidRPr="00F24FDE">
        <w:rPr>
          <w:rFonts w:ascii="Times New Roman" w:hAnsi="Times New Roman" w:cs="Times New Roman"/>
          <w:sz w:val="28"/>
          <w:szCs w:val="28"/>
          <w:lang w:val="uk-UA"/>
        </w:rPr>
        <w:t>- робітничі місця – 736 або 60%</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     - посади службовців – 243 або 20%</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    - особи без професій або такі, що займали місця, які не потребують спеціальної підготовки – 247 або 20% </w:t>
      </w:r>
    </w:p>
    <w:p w:rsidR="00F24FDE" w:rsidRPr="00F24FDE" w:rsidRDefault="00F24FDE" w:rsidP="00F24FDE">
      <w:pPr>
        <w:pStyle w:val="23"/>
        <w:spacing w:after="0" w:line="240" w:lineRule="auto"/>
        <w:ind w:left="360" w:firstLine="360"/>
        <w:rPr>
          <w:rFonts w:ascii="Times New Roman" w:hAnsi="Times New Roman" w:cs="Times New Roman"/>
          <w:b/>
          <w:sz w:val="28"/>
          <w:szCs w:val="28"/>
          <w:u w:val="single"/>
          <w:lang w:val="uk-UA"/>
        </w:rPr>
      </w:pPr>
      <w:r w:rsidRPr="00F24FDE">
        <w:rPr>
          <w:rFonts w:ascii="Times New Roman" w:hAnsi="Times New Roman" w:cs="Times New Roman"/>
          <w:b/>
          <w:sz w:val="28"/>
          <w:szCs w:val="28"/>
          <w:u w:val="single"/>
          <w:lang w:val="uk-UA"/>
        </w:rPr>
        <w:t>За статтею звільнення;</w:t>
      </w:r>
    </w:p>
    <w:p w:rsidR="00F24FDE" w:rsidRPr="00F24FDE" w:rsidRDefault="00F24FDE" w:rsidP="00F24FDE">
      <w:pPr>
        <w:pStyle w:val="23"/>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rPr>
        <w:t xml:space="preserve"> </w:t>
      </w: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 xml:space="preserve">у  </w:t>
      </w:r>
      <w:r w:rsidRPr="00F24FDE">
        <w:rPr>
          <w:rFonts w:ascii="Times New Roman" w:hAnsi="Times New Roman" w:cs="Times New Roman"/>
          <w:sz w:val="28"/>
          <w:szCs w:val="28"/>
          <w:lang w:val="uk-UA"/>
        </w:rPr>
        <w:t>з</w:t>
      </w:r>
      <w:r w:rsidRPr="00F24FDE">
        <w:rPr>
          <w:rFonts w:ascii="Times New Roman" w:hAnsi="Times New Roman" w:cs="Times New Roman"/>
          <w:sz w:val="28"/>
          <w:szCs w:val="28"/>
        </w:rPr>
        <w:t>в</w:t>
      </w:r>
      <w:r w:rsidRPr="00F24FDE">
        <w:rPr>
          <w:rFonts w:ascii="Times New Roman" w:hAnsi="Times New Roman" w:cs="Times New Roman"/>
          <w:sz w:val="28"/>
          <w:szCs w:val="28"/>
          <w:lang w:val="uk-UA"/>
        </w:rPr>
        <w:t>’</w:t>
      </w:r>
      <w:r w:rsidRPr="00F24FDE">
        <w:rPr>
          <w:rFonts w:ascii="Times New Roman" w:hAnsi="Times New Roman" w:cs="Times New Roman"/>
          <w:sz w:val="28"/>
          <w:szCs w:val="28"/>
        </w:rPr>
        <w:t xml:space="preserve">язку  зі  змінами  в організації виробництва  та  скорочення штату </w:t>
      </w:r>
      <w:r w:rsidRPr="00F24FDE">
        <w:rPr>
          <w:rFonts w:ascii="Times New Roman" w:hAnsi="Times New Roman" w:cs="Times New Roman"/>
          <w:sz w:val="28"/>
          <w:szCs w:val="28"/>
          <w:lang w:val="uk-UA"/>
        </w:rPr>
        <w:t>– 55 осіб</w:t>
      </w:r>
      <w:r w:rsidRPr="00F24FDE">
        <w:rPr>
          <w:rFonts w:ascii="Times New Roman" w:hAnsi="Times New Roman" w:cs="Times New Roman"/>
          <w:sz w:val="28"/>
          <w:szCs w:val="28"/>
        </w:rPr>
        <w:t>;</w:t>
      </w:r>
    </w:p>
    <w:p w:rsidR="00F24FDE" w:rsidRPr="00F24FDE" w:rsidRDefault="00F24FDE" w:rsidP="00F24FDE">
      <w:pPr>
        <w:pStyle w:val="23"/>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rPr>
        <w:lastRenderedPageBreak/>
        <w:t xml:space="preserve"> </w:t>
      </w: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за власним  бажанням –</w:t>
      </w:r>
      <w:r w:rsidRPr="00F24FDE">
        <w:rPr>
          <w:rFonts w:ascii="Times New Roman" w:hAnsi="Times New Roman" w:cs="Times New Roman"/>
          <w:sz w:val="28"/>
          <w:szCs w:val="28"/>
          <w:lang w:val="uk-UA"/>
        </w:rPr>
        <w:t xml:space="preserve">  90 осіб</w:t>
      </w:r>
      <w:r w:rsidRPr="00F24FDE">
        <w:rPr>
          <w:rFonts w:ascii="Times New Roman" w:hAnsi="Times New Roman" w:cs="Times New Roman"/>
          <w:sz w:val="28"/>
          <w:szCs w:val="28"/>
        </w:rPr>
        <w:t>;</w:t>
      </w:r>
    </w:p>
    <w:p w:rsidR="00F24FDE" w:rsidRPr="00F24FDE" w:rsidRDefault="00F24FDE" w:rsidP="00F24FDE">
      <w:pPr>
        <w:pStyle w:val="23"/>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rPr>
        <w:t xml:space="preserve"> </w:t>
      </w: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 xml:space="preserve">за порушення  трудової  дисципліни – </w:t>
      </w:r>
      <w:r w:rsidRPr="00F24FDE">
        <w:rPr>
          <w:rFonts w:ascii="Times New Roman" w:hAnsi="Times New Roman" w:cs="Times New Roman"/>
          <w:sz w:val="28"/>
          <w:szCs w:val="28"/>
          <w:lang w:val="uk-UA"/>
        </w:rPr>
        <w:t xml:space="preserve"> 1 особа</w:t>
      </w:r>
      <w:r w:rsidRPr="00F24FDE">
        <w:rPr>
          <w:rFonts w:ascii="Times New Roman" w:hAnsi="Times New Roman" w:cs="Times New Roman"/>
          <w:sz w:val="28"/>
          <w:szCs w:val="28"/>
        </w:rPr>
        <w:t xml:space="preserve"> ;</w:t>
      </w:r>
    </w:p>
    <w:p w:rsidR="00F24FDE" w:rsidRPr="00F24FDE" w:rsidRDefault="00F24FDE" w:rsidP="00F24FDE">
      <w:pPr>
        <w:pStyle w:val="23"/>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rPr>
        <w:t xml:space="preserve"> </w:t>
      </w: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 xml:space="preserve">незайняті  більше  одного року </w:t>
      </w:r>
      <w:r w:rsidRPr="00F24FDE">
        <w:rPr>
          <w:rFonts w:ascii="Times New Roman" w:hAnsi="Times New Roman" w:cs="Times New Roman"/>
          <w:sz w:val="28"/>
          <w:szCs w:val="28"/>
          <w:lang w:val="uk-UA"/>
        </w:rPr>
        <w:t xml:space="preserve"> 85 осіб</w:t>
      </w:r>
      <w:r w:rsidRPr="00F24FDE">
        <w:rPr>
          <w:rFonts w:ascii="Times New Roman" w:hAnsi="Times New Roman" w:cs="Times New Roman"/>
          <w:sz w:val="28"/>
          <w:szCs w:val="28"/>
        </w:rPr>
        <w:t xml:space="preserve"> ; </w:t>
      </w:r>
    </w:p>
    <w:p w:rsidR="00F24FDE" w:rsidRPr="00F24FDE" w:rsidRDefault="00F24FDE" w:rsidP="00F24FDE">
      <w:pPr>
        <w:pStyle w:val="23"/>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 xml:space="preserve">незайняті з інших  причин – </w:t>
      </w:r>
      <w:r w:rsidRPr="00F24FDE">
        <w:rPr>
          <w:rFonts w:ascii="Times New Roman" w:hAnsi="Times New Roman" w:cs="Times New Roman"/>
          <w:sz w:val="28"/>
          <w:szCs w:val="28"/>
          <w:lang w:val="uk-UA"/>
        </w:rPr>
        <w:t>979 осіб</w:t>
      </w:r>
      <w:r w:rsidRPr="00F24FDE">
        <w:rPr>
          <w:rFonts w:ascii="Times New Roman" w:hAnsi="Times New Roman" w:cs="Times New Roman"/>
          <w:sz w:val="28"/>
          <w:szCs w:val="28"/>
        </w:rPr>
        <w:t>.</w:t>
      </w:r>
    </w:p>
    <w:p w:rsidR="00F24FDE" w:rsidRPr="00F24FDE" w:rsidRDefault="00F24FDE" w:rsidP="00F24FDE">
      <w:pPr>
        <w:pStyle w:val="23"/>
        <w:spacing w:after="0" w:line="240" w:lineRule="auto"/>
        <w:ind w:left="360" w:firstLine="360"/>
        <w:rPr>
          <w:rFonts w:ascii="Times New Roman" w:hAnsi="Times New Roman" w:cs="Times New Roman"/>
          <w:b/>
          <w:sz w:val="28"/>
          <w:szCs w:val="28"/>
          <w:u w:val="single"/>
          <w:lang w:val="uk-UA"/>
        </w:rPr>
      </w:pPr>
      <w:r w:rsidRPr="00F24FDE">
        <w:rPr>
          <w:rFonts w:ascii="Times New Roman" w:hAnsi="Times New Roman" w:cs="Times New Roman"/>
          <w:sz w:val="28"/>
          <w:szCs w:val="28"/>
        </w:rPr>
        <w:t xml:space="preserve"> </w:t>
      </w:r>
      <w:r w:rsidRPr="00F24FDE">
        <w:rPr>
          <w:rFonts w:ascii="Times New Roman" w:hAnsi="Times New Roman" w:cs="Times New Roman"/>
          <w:b/>
          <w:sz w:val="28"/>
          <w:szCs w:val="28"/>
          <w:u w:val="single"/>
        </w:rPr>
        <w:t xml:space="preserve">За  освітою: </w:t>
      </w:r>
    </w:p>
    <w:p w:rsidR="00F24FDE" w:rsidRPr="00F24FDE" w:rsidRDefault="00F24FDE" w:rsidP="00F24FDE">
      <w:pPr>
        <w:pStyle w:val="23"/>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повн</w:t>
      </w:r>
      <w:r w:rsidRPr="00F24FDE">
        <w:rPr>
          <w:rFonts w:ascii="Times New Roman" w:hAnsi="Times New Roman" w:cs="Times New Roman"/>
          <w:sz w:val="28"/>
          <w:szCs w:val="28"/>
          <w:lang w:val="uk-UA"/>
        </w:rPr>
        <w:t>а</w:t>
      </w:r>
      <w:r w:rsidRPr="00F24FDE">
        <w:rPr>
          <w:rFonts w:ascii="Times New Roman" w:hAnsi="Times New Roman" w:cs="Times New Roman"/>
          <w:sz w:val="28"/>
          <w:szCs w:val="28"/>
        </w:rPr>
        <w:t xml:space="preserve">  вищ</w:t>
      </w:r>
      <w:r w:rsidRPr="00F24FDE">
        <w:rPr>
          <w:rFonts w:ascii="Times New Roman" w:hAnsi="Times New Roman" w:cs="Times New Roman"/>
          <w:sz w:val="28"/>
          <w:szCs w:val="28"/>
          <w:lang w:val="uk-UA"/>
        </w:rPr>
        <w:t>а</w:t>
      </w:r>
      <w:r w:rsidRPr="00F24FDE">
        <w:rPr>
          <w:rFonts w:ascii="Times New Roman" w:hAnsi="Times New Roman" w:cs="Times New Roman"/>
          <w:sz w:val="28"/>
          <w:szCs w:val="28"/>
        </w:rPr>
        <w:t xml:space="preserve">   –</w:t>
      </w:r>
      <w:r w:rsidRPr="00F24FDE">
        <w:rPr>
          <w:rFonts w:ascii="Times New Roman" w:hAnsi="Times New Roman" w:cs="Times New Roman"/>
          <w:sz w:val="28"/>
          <w:szCs w:val="28"/>
          <w:lang w:val="uk-UA"/>
        </w:rPr>
        <w:t xml:space="preserve">  152</w:t>
      </w:r>
      <w:r w:rsidRPr="00F24FDE">
        <w:rPr>
          <w:rFonts w:ascii="Times New Roman" w:hAnsi="Times New Roman" w:cs="Times New Roman"/>
          <w:sz w:val="28"/>
          <w:szCs w:val="28"/>
        </w:rPr>
        <w:t xml:space="preserve">  </w:t>
      </w:r>
      <w:r w:rsidRPr="00F24FDE">
        <w:rPr>
          <w:rFonts w:ascii="Times New Roman" w:hAnsi="Times New Roman" w:cs="Times New Roman"/>
          <w:sz w:val="28"/>
          <w:szCs w:val="28"/>
          <w:lang w:val="uk-UA"/>
        </w:rPr>
        <w:t>особи</w:t>
      </w:r>
      <w:r w:rsidRPr="00F24FDE">
        <w:rPr>
          <w:rFonts w:ascii="Times New Roman" w:hAnsi="Times New Roman" w:cs="Times New Roman"/>
          <w:sz w:val="28"/>
          <w:szCs w:val="28"/>
        </w:rPr>
        <w:t>.</w:t>
      </w:r>
    </w:p>
    <w:p w:rsidR="00F24FDE" w:rsidRPr="00F24FDE" w:rsidRDefault="00F24FDE" w:rsidP="00F24FDE">
      <w:pPr>
        <w:pStyle w:val="23"/>
        <w:tabs>
          <w:tab w:val="left" w:pos="2445"/>
        </w:tabs>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lang w:val="uk-UA"/>
        </w:rPr>
        <w:t>- б</w:t>
      </w:r>
      <w:r w:rsidRPr="00F24FDE">
        <w:rPr>
          <w:rFonts w:ascii="Times New Roman" w:hAnsi="Times New Roman" w:cs="Times New Roman"/>
          <w:sz w:val="28"/>
          <w:szCs w:val="28"/>
        </w:rPr>
        <w:t>азов</w:t>
      </w:r>
      <w:r w:rsidRPr="00F24FDE">
        <w:rPr>
          <w:rFonts w:ascii="Times New Roman" w:hAnsi="Times New Roman" w:cs="Times New Roman"/>
          <w:sz w:val="28"/>
          <w:szCs w:val="28"/>
          <w:lang w:val="uk-UA"/>
        </w:rPr>
        <w:t xml:space="preserve">а та неповна </w:t>
      </w:r>
      <w:r w:rsidRPr="00F24FDE">
        <w:rPr>
          <w:rFonts w:ascii="Times New Roman" w:hAnsi="Times New Roman" w:cs="Times New Roman"/>
          <w:sz w:val="28"/>
          <w:szCs w:val="28"/>
        </w:rPr>
        <w:t>вищ</w:t>
      </w:r>
      <w:r w:rsidRPr="00F24FDE">
        <w:rPr>
          <w:rFonts w:ascii="Times New Roman" w:hAnsi="Times New Roman" w:cs="Times New Roman"/>
          <w:sz w:val="28"/>
          <w:szCs w:val="28"/>
          <w:lang w:val="uk-UA"/>
        </w:rPr>
        <w:t>а</w:t>
      </w:r>
      <w:r w:rsidRPr="00F24FDE">
        <w:rPr>
          <w:rFonts w:ascii="Times New Roman" w:hAnsi="Times New Roman" w:cs="Times New Roman"/>
          <w:sz w:val="28"/>
          <w:szCs w:val="28"/>
        </w:rPr>
        <w:t xml:space="preserve"> -</w:t>
      </w:r>
      <w:r w:rsidRPr="00F24FDE">
        <w:rPr>
          <w:rFonts w:ascii="Times New Roman" w:hAnsi="Times New Roman" w:cs="Times New Roman"/>
          <w:sz w:val="28"/>
          <w:szCs w:val="28"/>
          <w:lang w:val="uk-UA"/>
        </w:rPr>
        <w:t xml:space="preserve"> 275 </w:t>
      </w:r>
      <w:r w:rsidRPr="00F24FDE">
        <w:rPr>
          <w:rFonts w:ascii="Times New Roman" w:hAnsi="Times New Roman" w:cs="Times New Roman"/>
          <w:sz w:val="28"/>
          <w:szCs w:val="28"/>
        </w:rPr>
        <w:t xml:space="preserve"> </w:t>
      </w:r>
      <w:r w:rsidRPr="00F24FDE">
        <w:rPr>
          <w:rFonts w:ascii="Times New Roman" w:hAnsi="Times New Roman" w:cs="Times New Roman"/>
          <w:sz w:val="28"/>
          <w:szCs w:val="28"/>
          <w:lang w:val="uk-UA"/>
        </w:rPr>
        <w:t>осіб</w:t>
      </w:r>
      <w:r w:rsidRPr="00F24FDE">
        <w:rPr>
          <w:rFonts w:ascii="Times New Roman" w:hAnsi="Times New Roman" w:cs="Times New Roman"/>
          <w:sz w:val="28"/>
          <w:szCs w:val="28"/>
        </w:rPr>
        <w:t>.</w:t>
      </w:r>
    </w:p>
    <w:p w:rsidR="00F24FDE" w:rsidRPr="00F24FDE" w:rsidRDefault="00F24FDE" w:rsidP="00F24FDE">
      <w:pPr>
        <w:pStyle w:val="23"/>
        <w:tabs>
          <w:tab w:val="left" w:pos="2445"/>
        </w:tabs>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lang w:val="uk-UA"/>
        </w:rPr>
        <w:t>- п</w:t>
      </w:r>
      <w:r w:rsidRPr="00F24FDE">
        <w:rPr>
          <w:rFonts w:ascii="Times New Roman" w:hAnsi="Times New Roman" w:cs="Times New Roman"/>
          <w:sz w:val="28"/>
          <w:szCs w:val="28"/>
        </w:rPr>
        <w:t>рофесійно – технічн</w:t>
      </w:r>
      <w:r w:rsidRPr="00F24FDE">
        <w:rPr>
          <w:rFonts w:ascii="Times New Roman" w:hAnsi="Times New Roman" w:cs="Times New Roman"/>
          <w:sz w:val="28"/>
          <w:szCs w:val="28"/>
          <w:lang w:val="uk-UA"/>
        </w:rPr>
        <w:t>а</w:t>
      </w:r>
      <w:r w:rsidRPr="00F24FDE">
        <w:rPr>
          <w:rFonts w:ascii="Times New Roman" w:hAnsi="Times New Roman" w:cs="Times New Roman"/>
          <w:sz w:val="28"/>
          <w:szCs w:val="28"/>
        </w:rPr>
        <w:t xml:space="preserve">  - </w:t>
      </w:r>
      <w:r w:rsidRPr="00F24FDE">
        <w:rPr>
          <w:rFonts w:ascii="Times New Roman" w:hAnsi="Times New Roman" w:cs="Times New Roman"/>
          <w:sz w:val="28"/>
          <w:szCs w:val="28"/>
          <w:lang w:val="uk-UA"/>
        </w:rPr>
        <w:t>756 осіб</w:t>
      </w:r>
      <w:r w:rsidRPr="00F24FDE">
        <w:rPr>
          <w:rFonts w:ascii="Times New Roman" w:hAnsi="Times New Roman" w:cs="Times New Roman"/>
          <w:sz w:val="28"/>
          <w:szCs w:val="28"/>
        </w:rPr>
        <w:t>.</w:t>
      </w:r>
    </w:p>
    <w:p w:rsidR="00F24FDE" w:rsidRPr="00F24FDE" w:rsidRDefault="00F24FDE" w:rsidP="00F24FDE">
      <w:pPr>
        <w:pStyle w:val="23"/>
        <w:tabs>
          <w:tab w:val="left" w:pos="2445"/>
        </w:tabs>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lang w:val="uk-UA"/>
        </w:rPr>
        <w:t>- п</w:t>
      </w:r>
      <w:r w:rsidRPr="00F24FDE">
        <w:rPr>
          <w:rFonts w:ascii="Times New Roman" w:hAnsi="Times New Roman" w:cs="Times New Roman"/>
          <w:sz w:val="28"/>
          <w:szCs w:val="28"/>
        </w:rPr>
        <w:t xml:space="preserve">овну загальну  середню  - </w:t>
      </w:r>
      <w:r w:rsidRPr="00F24FDE">
        <w:rPr>
          <w:rFonts w:ascii="Times New Roman" w:hAnsi="Times New Roman" w:cs="Times New Roman"/>
          <w:sz w:val="28"/>
          <w:szCs w:val="28"/>
          <w:lang w:val="uk-UA"/>
        </w:rPr>
        <w:t>35 осіб</w:t>
      </w:r>
      <w:r w:rsidRPr="00F24FDE">
        <w:rPr>
          <w:rFonts w:ascii="Times New Roman" w:hAnsi="Times New Roman" w:cs="Times New Roman"/>
          <w:sz w:val="28"/>
          <w:szCs w:val="28"/>
        </w:rPr>
        <w:t>.</w:t>
      </w:r>
    </w:p>
    <w:p w:rsidR="00F24FDE" w:rsidRPr="00F24FDE" w:rsidRDefault="00F24FDE" w:rsidP="00F24FDE">
      <w:pPr>
        <w:pStyle w:val="23"/>
        <w:tabs>
          <w:tab w:val="left" w:pos="2445"/>
        </w:tabs>
        <w:spacing w:after="0" w:line="240" w:lineRule="auto"/>
        <w:ind w:left="360" w:firstLine="360"/>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 </w:t>
      </w:r>
      <w:r w:rsidRPr="00F24FDE">
        <w:rPr>
          <w:rFonts w:ascii="Times New Roman" w:hAnsi="Times New Roman" w:cs="Times New Roman"/>
          <w:sz w:val="28"/>
          <w:szCs w:val="28"/>
        </w:rPr>
        <w:t>базову загальну  середню   -</w:t>
      </w:r>
      <w:r w:rsidRPr="00F24FDE">
        <w:rPr>
          <w:rFonts w:ascii="Times New Roman" w:hAnsi="Times New Roman" w:cs="Times New Roman"/>
          <w:sz w:val="28"/>
          <w:szCs w:val="28"/>
          <w:lang w:val="uk-UA"/>
        </w:rPr>
        <w:t xml:space="preserve"> 8 осіб</w:t>
      </w:r>
      <w:r w:rsidRPr="00F24FDE">
        <w:rPr>
          <w:rFonts w:ascii="Times New Roman" w:hAnsi="Times New Roman" w:cs="Times New Roman"/>
          <w:sz w:val="28"/>
          <w:szCs w:val="28"/>
        </w:rPr>
        <w:t>.</w:t>
      </w:r>
    </w:p>
    <w:p w:rsidR="00F24FDE" w:rsidRPr="00F24FDE" w:rsidRDefault="00F24FDE" w:rsidP="00F24FDE">
      <w:pPr>
        <w:pStyle w:val="23"/>
        <w:tabs>
          <w:tab w:val="left" w:pos="2445"/>
        </w:tabs>
        <w:spacing w:after="0" w:line="240" w:lineRule="auto"/>
        <w:ind w:left="360" w:firstLine="360"/>
        <w:rPr>
          <w:rFonts w:ascii="Times New Roman" w:hAnsi="Times New Roman" w:cs="Times New Roman"/>
          <w:b/>
          <w:sz w:val="28"/>
          <w:szCs w:val="28"/>
          <w:u w:val="single"/>
          <w:lang w:val="uk-UA"/>
        </w:rPr>
      </w:pPr>
      <w:r w:rsidRPr="00F24FDE">
        <w:rPr>
          <w:rFonts w:ascii="Times New Roman" w:hAnsi="Times New Roman" w:cs="Times New Roman"/>
          <w:b/>
          <w:sz w:val="28"/>
          <w:szCs w:val="28"/>
          <w:u w:val="single"/>
        </w:rPr>
        <w:t xml:space="preserve">  За  віком</w:t>
      </w:r>
      <w:proofErr w:type="gramStart"/>
      <w:r w:rsidRPr="00F24FDE">
        <w:rPr>
          <w:rFonts w:ascii="Times New Roman" w:hAnsi="Times New Roman" w:cs="Times New Roman"/>
          <w:b/>
          <w:sz w:val="28"/>
          <w:szCs w:val="28"/>
          <w:u w:val="single"/>
        </w:rPr>
        <w:t xml:space="preserve"> :</w:t>
      </w:r>
      <w:proofErr w:type="gramEnd"/>
      <w:r w:rsidRPr="00F24FDE">
        <w:rPr>
          <w:rFonts w:ascii="Times New Roman" w:hAnsi="Times New Roman" w:cs="Times New Roman"/>
          <w:b/>
          <w:sz w:val="28"/>
          <w:szCs w:val="28"/>
          <w:u w:val="single"/>
        </w:rPr>
        <w:t xml:space="preserve">  </w:t>
      </w:r>
    </w:p>
    <w:p w:rsidR="00F24FDE" w:rsidRPr="00F24FDE" w:rsidRDefault="00F24FDE" w:rsidP="00F24FDE">
      <w:pPr>
        <w:pStyle w:val="23"/>
        <w:tabs>
          <w:tab w:val="left" w:pos="2445"/>
        </w:tabs>
        <w:spacing w:after="0" w:line="240" w:lineRule="auto"/>
        <w:ind w:left="360" w:firstLine="360"/>
        <w:rPr>
          <w:rFonts w:ascii="Times New Roman" w:hAnsi="Times New Roman" w:cs="Times New Roman"/>
          <w:sz w:val="28"/>
          <w:szCs w:val="28"/>
        </w:rPr>
      </w:pPr>
      <w:r w:rsidRPr="00F24FDE">
        <w:rPr>
          <w:rFonts w:ascii="Times New Roman" w:hAnsi="Times New Roman" w:cs="Times New Roman"/>
          <w:sz w:val="28"/>
          <w:szCs w:val="28"/>
          <w:lang w:val="uk-UA"/>
        </w:rPr>
        <w:t>-</w:t>
      </w:r>
      <w:r w:rsidRPr="00F24FDE">
        <w:rPr>
          <w:rFonts w:ascii="Times New Roman" w:hAnsi="Times New Roman" w:cs="Times New Roman"/>
          <w:sz w:val="28"/>
          <w:szCs w:val="28"/>
        </w:rPr>
        <w:t xml:space="preserve"> 18-</w:t>
      </w:r>
      <w:r w:rsidRPr="00F24FDE">
        <w:rPr>
          <w:rFonts w:ascii="Times New Roman" w:hAnsi="Times New Roman" w:cs="Times New Roman"/>
          <w:sz w:val="28"/>
          <w:szCs w:val="28"/>
          <w:lang w:val="uk-UA"/>
        </w:rPr>
        <w:t>35</w:t>
      </w:r>
      <w:r w:rsidRPr="00F24FDE">
        <w:rPr>
          <w:rFonts w:ascii="Times New Roman" w:hAnsi="Times New Roman" w:cs="Times New Roman"/>
          <w:sz w:val="28"/>
          <w:szCs w:val="28"/>
        </w:rPr>
        <w:t xml:space="preserve"> років </w:t>
      </w:r>
      <w:r w:rsidRPr="00F24FDE">
        <w:rPr>
          <w:rFonts w:ascii="Times New Roman" w:hAnsi="Times New Roman" w:cs="Times New Roman"/>
          <w:sz w:val="28"/>
          <w:szCs w:val="28"/>
          <w:lang w:val="uk-UA"/>
        </w:rPr>
        <w:t>-</w:t>
      </w:r>
      <w:r w:rsidRPr="00F24FDE">
        <w:rPr>
          <w:rFonts w:ascii="Times New Roman" w:hAnsi="Times New Roman" w:cs="Times New Roman"/>
          <w:sz w:val="28"/>
          <w:szCs w:val="28"/>
        </w:rPr>
        <w:t xml:space="preserve">  </w:t>
      </w:r>
      <w:r w:rsidRPr="00F24FDE">
        <w:rPr>
          <w:rFonts w:ascii="Times New Roman" w:hAnsi="Times New Roman" w:cs="Times New Roman"/>
          <w:sz w:val="28"/>
          <w:szCs w:val="28"/>
          <w:lang w:val="uk-UA"/>
        </w:rPr>
        <w:t>404 особи</w:t>
      </w:r>
      <w:r w:rsidRPr="00F24FDE">
        <w:rPr>
          <w:rFonts w:ascii="Times New Roman" w:hAnsi="Times New Roman" w:cs="Times New Roman"/>
          <w:sz w:val="28"/>
          <w:szCs w:val="28"/>
        </w:rPr>
        <w:t>;</w:t>
      </w:r>
    </w:p>
    <w:p w:rsidR="00F24FDE" w:rsidRPr="00F24FDE" w:rsidRDefault="00F24FDE" w:rsidP="00F24FDE">
      <w:pPr>
        <w:pStyle w:val="23"/>
        <w:tabs>
          <w:tab w:val="left" w:pos="1725"/>
          <w:tab w:val="left" w:pos="2445"/>
        </w:tabs>
        <w:spacing w:after="0" w:line="240" w:lineRule="auto"/>
        <w:rPr>
          <w:rFonts w:ascii="Times New Roman" w:hAnsi="Times New Roman" w:cs="Times New Roman"/>
          <w:sz w:val="28"/>
          <w:szCs w:val="28"/>
        </w:rPr>
      </w:pPr>
      <w:r w:rsidRPr="00F24FDE">
        <w:rPr>
          <w:rFonts w:ascii="Times New Roman" w:hAnsi="Times New Roman" w:cs="Times New Roman"/>
          <w:sz w:val="28"/>
          <w:szCs w:val="28"/>
          <w:lang w:val="uk-UA"/>
        </w:rPr>
        <w:t xml:space="preserve">          - </w:t>
      </w:r>
      <w:r w:rsidRPr="00F24FDE">
        <w:rPr>
          <w:rFonts w:ascii="Times New Roman" w:hAnsi="Times New Roman" w:cs="Times New Roman"/>
          <w:sz w:val="28"/>
          <w:szCs w:val="28"/>
        </w:rPr>
        <w:t xml:space="preserve">особи передпенсійного віку – </w:t>
      </w:r>
      <w:r w:rsidRPr="00F24FDE">
        <w:rPr>
          <w:rFonts w:ascii="Times New Roman" w:hAnsi="Times New Roman" w:cs="Times New Roman"/>
          <w:sz w:val="28"/>
          <w:szCs w:val="28"/>
          <w:lang w:val="uk-UA"/>
        </w:rPr>
        <w:t xml:space="preserve"> 96 осіб</w:t>
      </w:r>
      <w:r w:rsidRPr="00F24FDE">
        <w:rPr>
          <w:rFonts w:ascii="Times New Roman" w:hAnsi="Times New Roman" w:cs="Times New Roman"/>
          <w:sz w:val="28"/>
          <w:szCs w:val="28"/>
        </w:rPr>
        <w:t xml:space="preserve">. </w:t>
      </w:r>
      <w:r w:rsidRPr="00F24FDE">
        <w:rPr>
          <w:rFonts w:ascii="Times New Roman" w:hAnsi="Times New Roman" w:cs="Times New Roman"/>
          <w:sz w:val="28"/>
          <w:szCs w:val="28"/>
        </w:rPr>
        <w:tab/>
      </w:r>
    </w:p>
    <w:p w:rsidR="00F24FDE" w:rsidRPr="00F24FDE" w:rsidRDefault="00F24FDE" w:rsidP="00F24FDE">
      <w:pPr>
        <w:pStyle w:val="23"/>
        <w:spacing w:after="0" w:line="240" w:lineRule="auto"/>
        <w:ind w:firstLine="360"/>
        <w:rPr>
          <w:rFonts w:ascii="Times New Roman" w:hAnsi="Times New Roman" w:cs="Times New Roman"/>
          <w:sz w:val="28"/>
          <w:szCs w:val="28"/>
          <w:lang w:val="uk-UA"/>
        </w:rPr>
      </w:pPr>
      <w:r w:rsidRPr="00F24FDE">
        <w:rPr>
          <w:rFonts w:ascii="Times New Roman" w:hAnsi="Times New Roman" w:cs="Times New Roman"/>
          <w:sz w:val="28"/>
          <w:szCs w:val="28"/>
          <w:lang w:val="uk-UA"/>
        </w:rPr>
        <w:t>Забезпечуючи надання послуг зареєстрованим безробітним, за допомогою районного центру зайнятості в 2013 році працевлаштовано – 484 осіб.</w:t>
      </w:r>
      <w:r w:rsidRPr="00F24FDE">
        <w:rPr>
          <w:rFonts w:ascii="Times New Roman" w:hAnsi="Times New Roman" w:cs="Times New Roman"/>
        </w:rPr>
        <w:t xml:space="preserve"> </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 в т.ч. за видами економічної діяльності:</w:t>
      </w:r>
      <w:r w:rsidRPr="00F24FDE">
        <w:rPr>
          <w:rFonts w:ascii="Times New Roman" w:hAnsi="Times New Roman" w:cs="Times New Roman"/>
          <w:sz w:val="28"/>
          <w:szCs w:val="28"/>
        </w:rPr>
        <w:t xml:space="preserve"> </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сільське господарство – 192 особи;</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оптова та роздрібна торгівля – 60 осіб;</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освіта – 52 особи;</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переробна промисловість – 38 осіб;</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державне управління – 30 осіб;</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охорона здоров’я - 28 осіб;</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 транспорт та будівництво по 15 осіб;</w:t>
      </w:r>
    </w:p>
    <w:p w:rsidR="00F24FDE" w:rsidRPr="00F24FDE" w:rsidRDefault="00F24FDE" w:rsidP="00F24FDE">
      <w:pPr>
        <w:pStyle w:val="23"/>
        <w:spacing w:after="0" w:line="240" w:lineRule="auto"/>
        <w:rPr>
          <w:rFonts w:ascii="Times New Roman" w:hAnsi="Times New Roman" w:cs="Times New Roman"/>
          <w:sz w:val="28"/>
          <w:szCs w:val="28"/>
          <w:lang w:val="uk-UA"/>
        </w:rPr>
      </w:pPr>
      <w:r w:rsidRPr="00F24FDE">
        <w:rPr>
          <w:rFonts w:ascii="Times New Roman" w:hAnsi="Times New Roman" w:cs="Times New Roman"/>
          <w:sz w:val="28"/>
          <w:szCs w:val="28"/>
          <w:lang w:val="uk-UA"/>
        </w:rPr>
        <w:t>Інші види діяльності – 69 осіб.</w:t>
      </w:r>
    </w:p>
    <w:p w:rsidR="00F24FDE" w:rsidRPr="00F24FDE" w:rsidRDefault="00F24FDE" w:rsidP="00F24FDE">
      <w:pPr>
        <w:pStyle w:val="23"/>
        <w:tabs>
          <w:tab w:val="left" w:pos="4065"/>
        </w:tabs>
        <w:spacing w:after="0" w:line="240" w:lineRule="auto"/>
        <w:ind w:firstLine="360"/>
        <w:rPr>
          <w:rFonts w:ascii="Times New Roman" w:hAnsi="Times New Roman" w:cs="Times New Roman"/>
          <w:lang w:val="uk-UA"/>
        </w:rPr>
      </w:pPr>
      <w:r w:rsidRPr="00F24FDE">
        <w:rPr>
          <w:rFonts w:ascii="Times New Roman" w:hAnsi="Times New Roman" w:cs="Times New Roman"/>
          <w:noProof/>
        </w:rPr>
        <w:drawing>
          <wp:inline distT="0" distB="0" distL="0" distR="0">
            <wp:extent cx="5743575" cy="3467100"/>
            <wp:effectExtent l="19050" t="0" r="9525" b="0"/>
            <wp:docPr id="87" name="Объект 8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F24FDE" w:rsidRPr="00F24FDE" w:rsidRDefault="00F24FDE" w:rsidP="00BF2593">
      <w:pPr>
        <w:pStyle w:val="23"/>
        <w:tabs>
          <w:tab w:val="left" w:pos="4065"/>
        </w:tabs>
        <w:spacing w:after="0" w:line="240" w:lineRule="auto"/>
        <w:ind w:firstLine="360"/>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Рівень працевлаштування безробітних склав 40 %, в той час як в минулому році цей показник складав – 36 %.</w:t>
      </w:r>
    </w:p>
    <w:p w:rsidR="00F24FDE" w:rsidRPr="00F24FDE" w:rsidRDefault="00F24FDE" w:rsidP="00BF2593">
      <w:pPr>
        <w:pStyle w:val="23"/>
        <w:spacing w:after="0" w:line="240" w:lineRule="auto"/>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В минулому році було працевлаштовано 127 громадян, які мають додаткові гарантії у сприянні працевлаштування, 5 особам надано допомогу по </w:t>
      </w:r>
      <w:r w:rsidRPr="00F24FDE">
        <w:rPr>
          <w:rFonts w:ascii="Times New Roman" w:hAnsi="Times New Roman" w:cs="Times New Roman"/>
          <w:sz w:val="28"/>
          <w:szCs w:val="28"/>
          <w:lang w:val="uk-UA"/>
        </w:rPr>
        <w:lastRenderedPageBreak/>
        <w:t xml:space="preserve">безробіттю шляхом виплати одноразової допомоги  для організації підприємницької діяльності. </w:t>
      </w:r>
    </w:p>
    <w:p w:rsidR="00F24FDE" w:rsidRPr="00F24FDE" w:rsidRDefault="00F24FDE" w:rsidP="00BF2593">
      <w:pPr>
        <w:pStyle w:val="23"/>
        <w:spacing w:after="0" w:line="240" w:lineRule="auto"/>
        <w:ind w:firstLine="561"/>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В 2013 одним із найважливіших напрямків діяльності центру зайнятості була організація навчання, перенавчання та підвищення кваліфікації. </w:t>
      </w:r>
    </w:p>
    <w:p w:rsidR="00F24FDE" w:rsidRPr="00F24FDE" w:rsidRDefault="00F24FDE" w:rsidP="00BF2593">
      <w:pPr>
        <w:pStyle w:val="23"/>
        <w:spacing w:after="0" w:line="240" w:lineRule="auto"/>
        <w:ind w:firstLine="561"/>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За вказаний рік пройшли професійну підготовку, перепідготовку та підвищення кваліфікації   – 175 осіб, а під конкретне замовлення роботодавців пройшли навчання 95 % від направлених. </w:t>
      </w:r>
    </w:p>
    <w:p w:rsidR="00F24FDE" w:rsidRPr="00F24FDE" w:rsidRDefault="00F24FDE" w:rsidP="00BF2593">
      <w:pPr>
        <w:pStyle w:val="23"/>
        <w:spacing w:after="0" w:line="240" w:lineRule="auto"/>
        <w:ind w:firstLine="561"/>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В 2012 році цей показник склав 53 %.</w:t>
      </w:r>
    </w:p>
    <w:p w:rsidR="00F24FDE" w:rsidRPr="00F24FDE" w:rsidRDefault="00F24FDE" w:rsidP="00BF2593">
      <w:pPr>
        <w:spacing w:after="0" w:line="240" w:lineRule="auto"/>
        <w:ind w:firstLine="414"/>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У повному обсязі проведена робота по виконанню постанови Кабінету Міністрів України від 20.03.2013 № 175 "Про затвердження Порядку організації громадських та інших робіт тимчасового характеру", які, відповідно до Постанови, організовуються місцевими державними адміністраціями, виконавчими комітетами сільських і селищних рад за участю територіальних органів Державної служби зайнятості України із залученням на добровільних засадах роботодавців. </w:t>
      </w:r>
    </w:p>
    <w:p w:rsidR="00F24FDE" w:rsidRPr="00F24FDE" w:rsidRDefault="00F24FDE" w:rsidP="00F24FDE">
      <w:pPr>
        <w:spacing w:after="0" w:line="240" w:lineRule="auto"/>
        <w:ind w:firstLine="414"/>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У 2013 році переважною більшістю сільських та селищних рад визначені види робіт, які є суспільно-корисними на їхніх територіях, відповідають потребам територіальної громади та мають соціальну спрямованість.</w:t>
      </w:r>
    </w:p>
    <w:p w:rsidR="00F24FDE" w:rsidRPr="00F24FDE" w:rsidRDefault="00F24FDE" w:rsidP="00F24FDE">
      <w:pPr>
        <w:spacing w:after="0" w:line="240" w:lineRule="auto"/>
        <w:ind w:firstLine="414"/>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Сільськими та селищними радами було укладено 19 договорів із районним центром зайнятості про організацію таких робіт та створено 207  додаткових робочих місць. </w:t>
      </w:r>
    </w:p>
    <w:p w:rsidR="00F24FDE" w:rsidRPr="00F24FDE" w:rsidRDefault="00F24FDE" w:rsidP="00F24FDE">
      <w:pPr>
        <w:spacing w:after="0" w:line="240" w:lineRule="auto"/>
        <w:ind w:firstLine="414"/>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В минулому році із бюджетів сільських та селищних рад, підприємств, установ та організацій, бюджету Фонду загальнообов’язкового державного соціального страхування України на випадок безробіття на оплату праці зареєстрованих безробітних, які працювали на громадських роботах та інших роботах тимчасового характеру використано 219.9  тис. грн.</w:t>
      </w:r>
    </w:p>
    <w:p w:rsidR="00F24FDE" w:rsidRPr="00F24FDE" w:rsidRDefault="00F24FDE" w:rsidP="00F24FDE">
      <w:pPr>
        <w:spacing w:after="0" w:line="240" w:lineRule="auto"/>
        <w:ind w:firstLine="414"/>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У т.ч. кошти місцевих бюджетів склали – 97.7 тис. грн.</w:t>
      </w:r>
    </w:p>
    <w:p w:rsidR="00F24FDE" w:rsidRPr="00F24FDE" w:rsidRDefault="00F24FDE" w:rsidP="00F24FDE">
      <w:pPr>
        <w:spacing w:after="0" w:line="240" w:lineRule="auto"/>
        <w:ind w:firstLine="414"/>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Кошти роботодавців – 24.6 тис. грн.</w:t>
      </w:r>
    </w:p>
    <w:p w:rsidR="00F24FDE" w:rsidRDefault="00F24FDE" w:rsidP="00F24FDE">
      <w:pPr>
        <w:spacing w:after="0" w:line="240" w:lineRule="auto"/>
        <w:ind w:firstLine="414"/>
        <w:jc w:val="both"/>
        <w:rPr>
          <w:rFonts w:ascii="Times New Roman" w:hAnsi="Times New Roman" w:cs="Times New Roman"/>
          <w:sz w:val="28"/>
          <w:szCs w:val="28"/>
          <w:lang w:val="uk-UA"/>
        </w:rPr>
      </w:pPr>
      <w:r w:rsidRPr="00F24FDE">
        <w:rPr>
          <w:rFonts w:ascii="Times New Roman" w:hAnsi="Times New Roman" w:cs="Times New Roman"/>
          <w:sz w:val="28"/>
          <w:szCs w:val="28"/>
          <w:lang w:val="uk-UA"/>
        </w:rPr>
        <w:t xml:space="preserve">Кошти Фонду загальнообов’язкового державного соціального страхування України на випадок безробіття - 97.7 тис. грн. </w:t>
      </w:r>
    </w:p>
    <w:p w:rsidR="009233E1" w:rsidRDefault="009233E1" w:rsidP="00F24FDE">
      <w:pPr>
        <w:spacing w:after="0" w:line="240" w:lineRule="auto"/>
        <w:ind w:firstLine="414"/>
        <w:jc w:val="both"/>
        <w:rPr>
          <w:rFonts w:ascii="Times New Roman" w:hAnsi="Times New Roman" w:cs="Times New Roman"/>
          <w:sz w:val="28"/>
          <w:szCs w:val="28"/>
          <w:lang w:val="uk-UA"/>
        </w:rPr>
      </w:pPr>
    </w:p>
    <w:p w:rsidR="009233E1" w:rsidRDefault="009233E1" w:rsidP="009233E1">
      <w:pPr>
        <w:spacing w:after="0" w:line="240" w:lineRule="auto"/>
        <w:ind w:firstLine="414"/>
        <w:jc w:val="center"/>
        <w:rPr>
          <w:rFonts w:ascii="Times New Roman" w:hAnsi="Times New Roman" w:cs="Times New Roman"/>
          <w:b/>
          <w:sz w:val="28"/>
          <w:szCs w:val="28"/>
          <w:lang w:val="uk-UA"/>
        </w:rPr>
      </w:pPr>
      <w:r w:rsidRPr="009233E1">
        <w:rPr>
          <w:rFonts w:ascii="Times New Roman" w:hAnsi="Times New Roman" w:cs="Times New Roman"/>
          <w:b/>
          <w:sz w:val="28"/>
          <w:szCs w:val="28"/>
          <w:lang w:val="uk-UA"/>
        </w:rPr>
        <w:t>14. Пенсійне забезпечення.</w:t>
      </w:r>
    </w:p>
    <w:p w:rsidR="009233E1" w:rsidRPr="009233E1" w:rsidRDefault="009233E1" w:rsidP="00D15719">
      <w:pPr>
        <w:spacing w:after="0" w:line="240" w:lineRule="auto"/>
        <w:ind w:firstLine="426"/>
        <w:jc w:val="both"/>
        <w:rPr>
          <w:rFonts w:ascii="Times New Roman" w:hAnsi="Times New Roman" w:cs="Times New Roman"/>
          <w:sz w:val="28"/>
          <w:szCs w:val="28"/>
          <w:lang w:val="uk-UA"/>
        </w:rPr>
      </w:pPr>
      <w:r>
        <w:rPr>
          <w:sz w:val="28"/>
          <w:szCs w:val="28"/>
          <w:lang w:val="uk-UA"/>
        </w:rPr>
        <w:t xml:space="preserve">     </w:t>
      </w:r>
      <w:r w:rsidRPr="009233E1">
        <w:rPr>
          <w:rFonts w:ascii="Times New Roman" w:hAnsi="Times New Roman" w:cs="Times New Roman"/>
          <w:sz w:val="28"/>
          <w:szCs w:val="28"/>
          <w:lang w:val="uk-UA"/>
        </w:rPr>
        <w:t xml:space="preserve">Робота управління Пенсійного фонду України в Недригайлівському районі спрямована на виконання завдань Президента та Уряду України щодо реалізації державної політики у сфері пенсійного забезпечення. </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Забезпечення виконання планових показників по надходженню власних коштів, погашення заборгованості по платежах до бюджету Пенсійного фонду, своєчасне фінансування  виплати пенсій - одне із основних завдань роботи управління.</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 xml:space="preserve">З набранням чинності Закону України “Про внесення змін до деяких законодавчих актів України у зв”язку з проведенням адмінітративної реформи України” з 11 серпня 2013 року функції з адміністрування єдиного соціального внеску, частина якого є основним джерелом наповнення бюджету Фонду на  фінансування виплати пенсій, перейшли від органів Пенсійного фонду України до органів Міністерства доходів і зборів. З огляду </w:t>
      </w:r>
      <w:r w:rsidRPr="009233E1">
        <w:rPr>
          <w:rFonts w:ascii="Times New Roman" w:hAnsi="Times New Roman" w:cs="Times New Roman"/>
          <w:sz w:val="28"/>
          <w:szCs w:val="28"/>
          <w:lang w:val="uk-UA"/>
        </w:rPr>
        <w:lastRenderedPageBreak/>
        <w:t xml:space="preserve">на це основним пріоритетом  в роботі управління Пенсійного фонду  є пенсійне забезпечення громадян. </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Від платників  району на рахунки управління  за 9 місяців 2013 року надійшло 22560,2тис.грн, що становить 106,0% планового показника та на 3,7 % більше проти відповідного періоду минулого року. (Діаграма про надходження коштів  додається).</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 xml:space="preserve"> Загальна  заборгованість платників до Пенсійного фонду  станом на 01.01.2014 року становить 644,5 тис.грн. Заборгованість за економічно активними платниками відсутня.  Підприємствам-банкрутам, відносно яких діють судові процедури банкрутства,  належить 63,1 % заборгованості ( 407,0 тис.грн.). В безнадійному статусі перебуває  заборгованість в сумі 237,5 тис.грн., що становить 36,9%. За  звітний рік  загальна сума заборгованості зменшилася на 246,4 тис.грн., в тому числі в дієвому статусі на  222,6 тис.гривень. (Діаграма зміни заборгованості додається). </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 xml:space="preserve"> До примусового стягнення заявлено 100% боргів. Протягом 2013 року до суду подано 65 позовів на  стягнення 170,5 тис.грн. заборгованості. До порушників законодавства застосовано  2 адмінштрафи на  0,8 тис.грн., що менше ніж у минулому році на 19 штрафів в сумі 10,6 тис.грн., що свідчить про покращення платіжної дисципліни.</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 xml:space="preserve"> Управлінням забезпечено стовідсоткове виконання графіків погашення заборгованості, наданих 8 боржниками-фізичними особами підприємцями на виконання протокольного рішення селекторної наради під головуванням Міністра соціальної політики України від 26.02.2013 року, що обліковувалася станом на 1 березня 2013 року в сумі 15,8 тис.гривень.</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 xml:space="preserve"> При доведеному завданні головним управлінням щодо скорочення заборгованості до 01.07.2014 не менше 50%,  в січні місяці 2014 року управлінням вже забезпечено погашення заборгованості в сумі 309,6 тис.грн., що становить 48,0 %  показника, доведеного  на півріччя.</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 xml:space="preserve">Передача функцій адміністрування єдиного внеску обумовили зменшення  рівня  забезпечення району власними коштами на виплату і доставку пенсій з 24,5 % у  2012 році  до 17,1%-за 2013 рік. </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 xml:space="preserve"> Станом на 01.02.2014 в  управлінні на обліку перебуває 8730 пенсіонерів. Всі пенсійні виплати профінансовані в повному обсязі і виплачені жителям району без затримок.  За 2013 рік потреба в коштах на виплату пенсій та допомог проти минулого року зросла на 7,2 млн. грн. і склала більше 130 млн. грн., тобто щомісяця на виплату і доставку пенсій в районі спрямовувалося  майже 11,0 млн. гривень. Ці кошти забезпечують щомісячне виконання соціальних ініціатив Президента України та Стратегії розвитку Сумської області на період до 2015 року “Нова Сумщина-2015”, які по</w:t>
      </w:r>
      <w:r w:rsidR="00D15719">
        <w:rPr>
          <w:rFonts w:ascii="Times New Roman" w:hAnsi="Times New Roman" w:cs="Times New Roman"/>
          <w:sz w:val="28"/>
          <w:szCs w:val="28"/>
          <w:lang w:val="uk-UA"/>
        </w:rPr>
        <w:t xml:space="preserve">    </w:t>
      </w:r>
      <w:r w:rsidRPr="009233E1">
        <w:rPr>
          <w:rFonts w:ascii="Times New Roman" w:hAnsi="Times New Roman" w:cs="Times New Roman"/>
          <w:sz w:val="28"/>
          <w:szCs w:val="28"/>
          <w:lang w:val="uk-UA"/>
        </w:rPr>
        <w:t>кликані підвищити рівень пенсійного забезпечення громадян.</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Так, втілюючи в життя Стратегію розвитку проекту “Нова Сумщина -2015”, протягом 2013 року середній розмір призначеної пенсії зріс на 48,81 грн.( по області на 51,37 грн.) та склав станом на 01.01.2014 1255,23 грн. (по області -1394,80 грн., по Україні-1526,09 грн.).</w:t>
      </w:r>
    </w:p>
    <w:p w:rsidR="009233E1" w:rsidRPr="009233E1" w:rsidRDefault="009233E1" w:rsidP="00D15719">
      <w:pPr>
        <w:spacing w:after="0" w:line="240" w:lineRule="auto"/>
        <w:jc w:val="both"/>
        <w:rPr>
          <w:rFonts w:ascii="Times New Roman" w:hAnsi="Times New Roman" w:cs="Times New Roman"/>
          <w:sz w:val="28"/>
          <w:lang w:val="uk-UA"/>
        </w:rPr>
      </w:pPr>
      <w:r w:rsidRPr="009233E1">
        <w:rPr>
          <w:rFonts w:ascii="Times New Roman" w:hAnsi="Times New Roman" w:cs="Times New Roman"/>
          <w:sz w:val="28"/>
          <w:szCs w:val="28"/>
          <w:lang w:val="uk-UA"/>
        </w:rPr>
        <w:lastRenderedPageBreak/>
        <w:t xml:space="preserve">           В управлінні на достатньому рівні забезпечується інформування різних верств населення про основні напрямки діяльності Фонду. Протягом 2013 року керівництво та спеціалісти  управління 39 разів зустрілися в трудових колективах, здійснили близько 40 виїзних прийомів. Прочитано лекцій у навчальних закладах, проведено 3 зустрічі за круглим столом і 35 виступів в районній газеті “Голос Посулля”. Працювали телефонні “гарячі лінії”. Виготовлено та розповсюджено більше тисячі буклетів про сплату єдиного соціального внеску, добровільної участі у системі загальнообов”язкового державного пенсійного страхування, доплати до мінімального страхового внеску.</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lang w:val="uk-UA"/>
        </w:rPr>
        <w:t xml:space="preserve">   </w:t>
      </w:r>
      <w:r w:rsidR="00D15719">
        <w:rPr>
          <w:rFonts w:ascii="Times New Roman" w:hAnsi="Times New Roman" w:cs="Times New Roman"/>
          <w:sz w:val="28"/>
          <w:lang w:val="uk-UA"/>
        </w:rPr>
        <w:t xml:space="preserve">        </w:t>
      </w:r>
      <w:r w:rsidRPr="009233E1">
        <w:rPr>
          <w:rFonts w:ascii="Times New Roman" w:hAnsi="Times New Roman" w:cs="Times New Roman"/>
          <w:sz w:val="28"/>
          <w:lang w:val="uk-UA"/>
        </w:rPr>
        <w:t xml:space="preserve">Для призначення та перерахунку пенсій на підставі наявних даних персоніфікованого обліку відомостей про застрахованих осіб у системі загальнообов’язкового державного пенсійного страхування на запити від відділів з призначення пенсій протягом  2013 року спеціалістами відділу персоніфікованого обліку інформаційних систем та мереж  надано </w:t>
      </w:r>
      <w:r w:rsidRPr="009233E1">
        <w:rPr>
          <w:rFonts w:ascii="Times New Roman" w:hAnsi="Times New Roman" w:cs="Times New Roman"/>
          <w:sz w:val="28"/>
        </w:rPr>
        <w:t>768</w:t>
      </w:r>
      <w:r w:rsidRPr="009233E1">
        <w:rPr>
          <w:rFonts w:ascii="Times New Roman" w:hAnsi="Times New Roman" w:cs="Times New Roman"/>
          <w:sz w:val="28"/>
          <w:lang w:val="uk-UA"/>
        </w:rPr>
        <w:t xml:space="preserve"> виписок.</w:t>
      </w:r>
    </w:p>
    <w:p w:rsidR="009233E1" w:rsidRPr="009233E1" w:rsidRDefault="009233E1" w:rsidP="00D15719">
      <w:pPr>
        <w:spacing w:after="0" w:line="240" w:lineRule="auto"/>
        <w:ind w:right="44" w:firstLine="708"/>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Протягом  2013 року прийнято 1705 єдиних звітів від страхувальників.</w:t>
      </w:r>
    </w:p>
    <w:p w:rsidR="009233E1" w:rsidRPr="009233E1" w:rsidRDefault="009233E1" w:rsidP="00D15719">
      <w:pPr>
        <w:spacing w:after="0" w:line="240" w:lineRule="auto"/>
        <w:jc w:val="both"/>
        <w:rPr>
          <w:rFonts w:ascii="Times New Roman" w:hAnsi="Times New Roman" w:cs="Times New Roman"/>
          <w:spacing w:val="9"/>
          <w:sz w:val="28"/>
          <w:szCs w:val="28"/>
          <w:lang w:val="uk-UA"/>
        </w:rPr>
      </w:pPr>
      <w:r w:rsidRPr="009233E1">
        <w:rPr>
          <w:rFonts w:ascii="Times New Roman" w:hAnsi="Times New Roman" w:cs="Times New Roman"/>
          <w:sz w:val="28"/>
          <w:szCs w:val="28"/>
          <w:lang w:val="uk-UA"/>
        </w:rPr>
        <w:tab/>
      </w:r>
      <w:r w:rsidRPr="009233E1">
        <w:rPr>
          <w:rFonts w:ascii="Times New Roman" w:hAnsi="Times New Roman" w:cs="Times New Roman"/>
          <w:sz w:val="28"/>
          <w:lang w:val="uk-UA"/>
        </w:rPr>
        <w:t xml:space="preserve">Станом на </w:t>
      </w:r>
      <w:r w:rsidRPr="009233E1">
        <w:rPr>
          <w:rFonts w:ascii="Times New Roman" w:hAnsi="Times New Roman" w:cs="Times New Roman"/>
          <w:sz w:val="28"/>
        </w:rPr>
        <w:t>31</w:t>
      </w:r>
      <w:r w:rsidRPr="009233E1">
        <w:rPr>
          <w:rFonts w:ascii="Times New Roman" w:hAnsi="Times New Roman" w:cs="Times New Roman"/>
          <w:sz w:val="28"/>
          <w:lang w:val="uk-UA"/>
        </w:rPr>
        <w:t>.</w:t>
      </w:r>
      <w:r w:rsidRPr="009233E1">
        <w:rPr>
          <w:rFonts w:ascii="Times New Roman" w:hAnsi="Times New Roman" w:cs="Times New Roman"/>
          <w:sz w:val="28"/>
        </w:rPr>
        <w:t>12</w:t>
      </w:r>
      <w:r w:rsidRPr="009233E1">
        <w:rPr>
          <w:rFonts w:ascii="Times New Roman" w:hAnsi="Times New Roman" w:cs="Times New Roman"/>
          <w:sz w:val="28"/>
          <w:lang w:val="uk-UA"/>
        </w:rPr>
        <w:t xml:space="preserve">.2013 р. видано 10 </w:t>
      </w:r>
      <w:r w:rsidRPr="009233E1">
        <w:rPr>
          <w:rFonts w:ascii="Times New Roman" w:hAnsi="Times New Roman" w:cs="Times New Roman"/>
          <w:sz w:val="28"/>
        </w:rPr>
        <w:t>200</w:t>
      </w:r>
      <w:r w:rsidRPr="009233E1">
        <w:rPr>
          <w:rFonts w:ascii="Times New Roman" w:hAnsi="Times New Roman" w:cs="Times New Roman"/>
          <w:sz w:val="28"/>
          <w:lang w:val="uk-UA"/>
        </w:rPr>
        <w:t xml:space="preserve"> свідоцтв про загальнообов’язкове державне соціальне страхування  (100% від отриманих).</w:t>
      </w:r>
    </w:p>
    <w:p w:rsidR="009233E1" w:rsidRPr="009233E1" w:rsidRDefault="009233E1" w:rsidP="00D15719">
      <w:pPr>
        <w:spacing w:after="0" w:line="240" w:lineRule="auto"/>
        <w:jc w:val="both"/>
        <w:rPr>
          <w:rFonts w:ascii="Times New Roman" w:hAnsi="Times New Roman" w:cs="Times New Roman"/>
          <w:spacing w:val="9"/>
          <w:sz w:val="28"/>
          <w:szCs w:val="28"/>
          <w:lang w:val="uk-UA"/>
        </w:rPr>
      </w:pPr>
      <w:r w:rsidRPr="009233E1">
        <w:rPr>
          <w:rFonts w:ascii="Times New Roman" w:hAnsi="Times New Roman" w:cs="Times New Roman"/>
          <w:spacing w:val="9"/>
          <w:sz w:val="28"/>
          <w:szCs w:val="28"/>
          <w:lang w:val="uk-UA"/>
        </w:rPr>
        <w:tab/>
        <w:t>З метою виконання постанови КМУ від 04.06.1998 р. № 794 здійснювався прийом та обробка запитів громадян щодо відомостей про них у системі персоніфікованого обліку. Прийнято та оброблено 1</w:t>
      </w:r>
      <w:r w:rsidRPr="009233E1">
        <w:rPr>
          <w:rFonts w:ascii="Times New Roman" w:hAnsi="Times New Roman" w:cs="Times New Roman"/>
          <w:spacing w:val="9"/>
          <w:sz w:val="28"/>
          <w:szCs w:val="28"/>
        </w:rPr>
        <w:t>64</w:t>
      </w:r>
      <w:r w:rsidRPr="009233E1">
        <w:rPr>
          <w:rFonts w:ascii="Times New Roman" w:hAnsi="Times New Roman" w:cs="Times New Roman"/>
          <w:spacing w:val="9"/>
          <w:sz w:val="28"/>
          <w:szCs w:val="28"/>
          <w:lang w:val="uk-UA"/>
        </w:rPr>
        <w:t xml:space="preserve"> запити.</w:t>
      </w:r>
    </w:p>
    <w:p w:rsidR="009233E1" w:rsidRPr="009233E1" w:rsidRDefault="009233E1" w:rsidP="00D15719">
      <w:pPr>
        <w:spacing w:after="0" w:line="240" w:lineRule="auto"/>
        <w:ind w:right="44"/>
        <w:jc w:val="both"/>
        <w:rPr>
          <w:rFonts w:ascii="Times New Roman" w:hAnsi="Times New Roman" w:cs="Times New Roman"/>
          <w:sz w:val="28"/>
          <w:szCs w:val="28"/>
          <w:lang w:val="uk-UA"/>
        </w:rPr>
      </w:pPr>
      <w:r w:rsidRPr="009233E1">
        <w:rPr>
          <w:rFonts w:ascii="Times New Roman" w:hAnsi="Times New Roman" w:cs="Times New Roman"/>
          <w:spacing w:val="9"/>
          <w:sz w:val="28"/>
          <w:szCs w:val="28"/>
          <w:lang w:val="uk-UA"/>
        </w:rPr>
        <w:tab/>
      </w:r>
      <w:r w:rsidRPr="009233E1">
        <w:rPr>
          <w:rFonts w:ascii="Times New Roman" w:hAnsi="Times New Roman" w:cs="Times New Roman"/>
          <w:sz w:val="28"/>
          <w:szCs w:val="28"/>
          <w:lang w:val="uk-UA"/>
        </w:rPr>
        <w:t>Спеціалістами відділу проводилась  роз’</w:t>
      </w:r>
      <w:r w:rsidRPr="009233E1">
        <w:rPr>
          <w:rFonts w:ascii="Times New Roman" w:hAnsi="Times New Roman" w:cs="Times New Roman"/>
          <w:sz w:val="28"/>
          <w:szCs w:val="28"/>
        </w:rPr>
        <w:t>яс</w:t>
      </w:r>
      <w:r w:rsidRPr="009233E1">
        <w:rPr>
          <w:rFonts w:ascii="Times New Roman" w:hAnsi="Times New Roman" w:cs="Times New Roman"/>
          <w:sz w:val="28"/>
          <w:szCs w:val="28"/>
          <w:lang w:val="uk-UA"/>
        </w:rPr>
        <w:t>нювальна робота серед населення району з питань надання органами Пенсійного фонду України послуг в електронному вигляді. Станом на 31.</w:t>
      </w:r>
      <w:r w:rsidRPr="009233E1">
        <w:rPr>
          <w:rFonts w:ascii="Times New Roman" w:hAnsi="Times New Roman" w:cs="Times New Roman"/>
          <w:sz w:val="28"/>
          <w:szCs w:val="28"/>
        </w:rPr>
        <w:t>12</w:t>
      </w:r>
      <w:r w:rsidRPr="009233E1">
        <w:rPr>
          <w:rFonts w:ascii="Times New Roman" w:hAnsi="Times New Roman" w:cs="Times New Roman"/>
          <w:sz w:val="28"/>
          <w:szCs w:val="28"/>
          <w:lang w:val="uk-UA"/>
        </w:rPr>
        <w:t xml:space="preserve">.2013 р. зареєстровано </w:t>
      </w:r>
      <w:r w:rsidRPr="009233E1">
        <w:rPr>
          <w:rFonts w:ascii="Times New Roman" w:hAnsi="Times New Roman" w:cs="Times New Roman"/>
          <w:sz w:val="28"/>
          <w:szCs w:val="28"/>
        </w:rPr>
        <w:t>2</w:t>
      </w:r>
      <w:r w:rsidRPr="009233E1">
        <w:rPr>
          <w:rFonts w:ascii="Times New Roman" w:hAnsi="Times New Roman" w:cs="Times New Roman"/>
          <w:sz w:val="28"/>
          <w:szCs w:val="28"/>
          <w:lang w:val="uk-UA"/>
        </w:rPr>
        <w:t>51 користувач ВЕБ- порталу Пенсійного фонду України.</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ab/>
        <w:t xml:space="preserve">Проводилась робота по залученню страхувальників до звітування до органів Пенсійного фонду  в електронній формі з використанням електронного цифрового підпису. </w:t>
      </w:r>
      <w:r w:rsidRPr="009233E1">
        <w:rPr>
          <w:rFonts w:ascii="Times New Roman" w:hAnsi="Times New Roman" w:cs="Times New Roman"/>
          <w:sz w:val="28"/>
          <w:szCs w:val="28"/>
          <w:lang w:val="uk-UA"/>
        </w:rPr>
        <w:tab/>
        <w:t>По району за 2013 р., з використанням посилених сертифікатів ключів, надано 852 з 1705 або 49,87 % звітів страхувальників, що ведуть діяльність та використовують найману працю (при середньообласному показнику 47%).</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Для забезпечення у 2014 році підвищення рівня фінансової стійкості системи пенсійного забезпечення, зменшення розриву між доходами  та видатками, досягнення бездефіцитності бюджету Пенсійного фонду визначені наступні завдання над якими працює управління:</w:t>
      </w:r>
    </w:p>
    <w:p w:rsidR="009233E1" w:rsidRP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збільшення обсягів надходжень до бюджету Пенсійного фонду та скорочення  заборгованості до 01.07.2014 не менше ніж на 50%;</w:t>
      </w:r>
    </w:p>
    <w:p w:rsidR="009233E1" w:rsidRDefault="009233E1" w:rsidP="00D15719">
      <w:pPr>
        <w:spacing w:after="0" w:line="240" w:lineRule="auto"/>
        <w:jc w:val="both"/>
        <w:rPr>
          <w:rFonts w:ascii="Times New Roman" w:hAnsi="Times New Roman" w:cs="Times New Roman"/>
          <w:sz w:val="28"/>
          <w:szCs w:val="28"/>
          <w:lang w:val="uk-UA"/>
        </w:rPr>
      </w:pPr>
      <w:r w:rsidRPr="009233E1">
        <w:rPr>
          <w:rFonts w:ascii="Times New Roman" w:hAnsi="Times New Roman" w:cs="Times New Roman"/>
          <w:sz w:val="28"/>
          <w:szCs w:val="28"/>
          <w:lang w:val="uk-UA"/>
        </w:rPr>
        <w:t xml:space="preserve">   систематичне висвітлення державної політики пенсійного реформування, всебічного та своєчасного розгляду звернень громадян з питань пенсійного забезпечення, оперативне та своєчасне вирішення проблем, порушених у зверненнях.</w:t>
      </w:r>
    </w:p>
    <w:p w:rsidR="00466FD6" w:rsidRDefault="00466FD6" w:rsidP="00466FD6">
      <w:pPr>
        <w:spacing w:after="0" w:line="240" w:lineRule="auto"/>
        <w:jc w:val="center"/>
        <w:rPr>
          <w:rFonts w:ascii="Times New Roman" w:hAnsi="Times New Roman" w:cs="Times New Roman"/>
          <w:b/>
          <w:sz w:val="28"/>
          <w:szCs w:val="28"/>
          <w:lang w:val="uk-UA"/>
        </w:rPr>
      </w:pPr>
    </w:p>
    <w:p w:rsidR="00D15719" w:rsidRDefault="00466FD6" w:rsidP="00466FD6">
      <w:pPr>
        <w:spacing w:after="0" w:line="240" w:lineRule="auto"/>
        <w:jc w:val="center"/>
        <w:rPr>
          <w:rFonts w:ascii="Times New Roman" w:hAnsi="Times New Roman" w:cs="Times New Roman"/>
          <w:b/>
          <w:sz w:val="28"/>
          <w:szCs w:val="28"/>
          <w:lang w:val="uk-UA"/>
        </w:rPr>
      </w:pPr>
      <w:r w:rsidRPr="00466FD6">
        <w:rPr>
          <w:rFonts w:ascii="Times New Roman" w:hAnsi="Times New Roman" w:cs="Times New Roman"/>
          <w:b/>
          <w:sz w:val="28"/>
          <w:szCs w:val="28"/>
          <w:lang w:val="uk-UA"/>
        </w:rPr>
        <w:t>15. Охорона здоров</w:t>
      </w:r>
      <w:r>
        <w:rPr>
          <w:rFonts w:ascii="Times New Roman" w:hAnsi="Times New Roman" w:cs="Times New Roman"/>
          <w:b/>
          <w:sz w:val="28"/>
          <w:szCs w:val="28"/>
          <w:lang w:val="uk-UA"/>
        </w:rPr>
        <w:t>»</w:t>
      </w:r>
      <w:r w:rsidRPr="00466FD6">
        <w:rPr>
          <w:rFonts w:ascii="Times New Roman" w:hAnsi="Times New Roman" w:cs="Times New Roman"/>
          <w:b/>
          <w:sz w:val="28"/>
          <w:szCs w:val="28"/>
          <w:lang w:val="uk-UA"/>
        </w:rPr>
        <w:t>я</w:t>
      </w:r>
    </w:p>
    <w:p w:rsidR="00B52B4B" w:rsidRPr="00B52B4B" w:rsidRDefault="00B52B4B" w:rsidP="00B52B4B">
      <w:pPr>
        <w:spacing w:after="0" w:line="240" w:lineRule="auto"/>
        <w:ind w:firstLine="72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lastRenderedPageBreak/>
        <w:t xml:space="preserve">Діяльність  закладів  ЦПМСД  в 2013 році  була  спрямована  на виконання  Програми економічних реформ  на 2010-2014рр «Заможне суспільство ,  конкурентно спроможна  економіка , ефективна  держава». </w:t>
      </w:r>
    </w:p>
    <w:p w:rsidR="00B52B4B" w:rsidRPr="00B52B4B" w:rsidRDefault="00B52B4B" w:rsidP="00B52B4B">
      <w:pPr>
        <w:spacing w:after="0" w:line="240" w:lineRule="auto"/>
        <w:ind w:firstLine="72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З метою проведення модернізації первинної ланки в районі розроблений план модернізації закладів, що надають первинну  медичну допомогу на період до 2015 року.</w:t>
      </w:r>
    </w:p>
    <w:p w:rsidR="00B52B4B" w:rsidRPr="00B52B4B" w:rsidRDefault="00B52B4B" w:rsidP="00B52B4B">
      <w:pPr>
        <w:spacing w:after="0" w:line="240" w:lineRule="auto"/>
        <w:ind w:firstLine="72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На виконання плану проведена реорганізація первинної медичної допомоги шляхом створення в І</w:t>
      </w:r>
      <w:r w:rsidRPr="00B52B4B">
        <w:rPr>
          <w:rFonts w:ascii="Times New Roman" w:hAnsi="Times New Roman" w:cs="Times New Roman"/>
          <w:sz w:val="28"/>
          <w:szCs w:val="28"/>
          <w:lang w:val="en-US"/>
        </w:rPr>
        <w:t>V</w:t>
      </w:r>
      <w:r w:rsidRPr="00B52B4B">
        <w:rPr>
          <w:rFonts w:ascii="Times New Roman" w:hAnsi="Times New Roman" w:cs="Times New Roman"/>
          <w:sz w:val="28"/>
          <w:szCs w:val="28"/>
          <w:lang w:val="uk-UA"/>
        </w:rPr>
        <w:t xml:space="preserve"> кварталі  2012 року центру первинної медико-санітарної допомоги, як юридичної особи (рішення сесії районної ради від 05.12.2012 року).</w:t>
      </w:r>
    </w:p>
    <w:p w:rsidR="00B52B4B" w:rsidRPr="00B52B4B" w:rsidRDefault="00B52B4B" w:rsidP="00B52B4B">
      <w:pPr>
        <w:spacing w:after="0" w:line="240" w:lineRule="auto"/>
        <w:ind w:firstLine="72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Проведена робота по формуванню  мережі амбулаторій загальної практики сімейної медицини шляхом реорганізації Тернівської селищної лікарні в амбулаторію загальної практики сімейної медицини смт. Терни, переведенням 10 стаціонарних ліжок терапевтичного профілю на базу ЦРЛ та  розширенням  ліжкового фонду  денного стаціонару з 6 ліжок до 10.</w:t>
      </w:r>
    </w:p>
    <w:p w:rsidR="00B52B4B" w:rsidRPr="00B52B4B" w:rsidRDefault="00B52B4B" w:rsidP="00B52B4B">
      <w:pPr>
        <w:spacing w:after="0" w:line="240" w:lineRule="auto"/>
        <w:ind w:firstLine="72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На базі поліклінічного відділення Недригайлівської ЦРЛ відкрита АЗПСМ смт. Недригайлів в склад якої ввійшли сімейні лікарі, дільничні терапевти та педіатри, середній медичний персонал.</w:t>
      </w:r>
    </w:p>
    <w:p w:rsidR="00B52B4B" w:rsidRPr="00B52B4B" w:rsidRDefault="00B52B4B" w:rsidP="00B52B4B">
      <w:pPr>
        <w:spacing w:after="0" w:line="240" w:lineRule="auto"/>
        <w:ind w:firstLine="72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В результаті проведеної роботи в районі забезпечена 100% реорганізація  амбулаторій  в амбулаторії загальної практики сімейної медицини, які ввійшли (в кількості 7 АЗПСМ) в структуру центру ПМСД, що розпочав свою діяльність з 01.01.2013 року. Мережа ФАП,ФП залишилася  без змін і  включає 29 закладів.</w:t>
      </w:r>
    </w:p>
    <w:p w:rsidR="00B52B4B" w:rsidRPr="00B52B4B" w:rsidRDefault="00B52B4B" w:rsidP="00B52B4B">
      <w:pPr>
        <w:spacing w:after="0" w:line="240" w:lineRule="auto"/>
        <w:ind w:firstLine="72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Проведена робота сприяє збільшенню доступності   медичних послуг до сільського населення та дає можливість надання  первинної медичної допомоги сімейними лікарями більше 70% населення району.</w:t>
      </w:r>
    </w:p>
    <w:p w:rsidR="00B52B4B" w:rsidRPr="00B52B4B" w:rsidRDefault="00B52B4B" w:rsidP="004F5A98">
      <w:pPr>
        <w:spacing w:after="0" w:line="240" w:lineRule="auto"/>
        <w:ind w:firstLine="108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Під  медичним наглядом  первинних закладів перебувало 25675  осіб. В структурі  населення  65,74 %  це </w:t>
      </w:r>
      <w:r w:rsidR="007F41B9">
        <w:rPr>
          <w:rFonts w:ascii="Times New Roman" w:hAnsi="Times New Roman" w:cs="Times New Roman"/>
          <w:sz w:val="28"/>
          <w:szCs w:val="28"/>
          <w:lang w:val="uk-UA"/>
        </w:rPr>
        <w:t xml:space="preserve"> населення   сільських поселень</w:t>
      </w:r>
      <w:r w:rsidRPr="00B52B4B">
        <w:rPr>
          <w:rFonts w:ascii="Times New Roman" w:hAnsi="Times New Roman" w:cs="Times New Roman"/>
          <w:sz w:val="28"/>
          <w:szCs w:val="28"/>
          <w:lang w:val="uk-UA"/>
        </w:rPr>
        <w:t xml:space="preserve">, 34,26%  міське населення .  </w:t>
      </w:r>
    </w:p>
    <w:p w:rsidR="00B52B4B" w:rsidRPr="00B52B4B" w:rsidRDefault="00B52B4B" w:rsidP="004F5A98">
      <w:pPr>
        <w:spacing w:after="0" w:line="240" w:lineRule="auto"/>
        <w:ind w:firstLine="108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Депопуляція  за  звітний  рі</w:t>
      </w:r>
      <w:r w:rsidR="007F41B9">
        <w:rPr>
          <w:rFonts w:ascii="Times New Roman" w:hAnsi="Times New Roman" w:cs="Times New Roman"/>
          <w:sz w:val="28"/>
          <w:szCs w:val="28"/>
          <w:lang w:val="uk-UA"/>
        </w:rPr>
        <w:t>к  в цілому  становить  1,33 %</w:t>
      </w:r>
      <w:r w:rsidRPr="00B52B4B">
        <w:rPr>
          <w:rFonts w:ascii="Times New Roman" w:hAnsi="Times New Roman" w:cs="Times New Roman"/>
          <w:sz w:val="28"/>
          <w:szCs w:val="28"/>
          <w:lang w:val="uk-UA"/>
        </w:rPr>
        <w:t xml:space="preserve">, в  тому  числі  серед  міського  - 1,01 % , серед  сільського населення  - 1,49 %. </w:t>
      </w:r>
    </w:p>
    <w:p w:rsidR="00B52B4B" w:rsidRPr="00B52B4B" w:rsidRDefault="00B52B4B" w:rsidP="004F5A98">
      <w:pPr>
        <w:spacing w:after="0" w:line="240" w:lineRule="auto"/>
        <w:ind w:firstLine="1080"/>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Для демографічної  ситуації характерна  низька народжуваність   6,0 ( 2012 р -7,4)  на 1000 населення , пройшло зниження  народжуваності  серед міських  мешканців  з 10,6 до 9,1 , серед  сільських з 5,9  до 4,4 на 1000  населення  </w:t>
      </w:r>
    </w:p>
    <w:p w:rsidR="00B52B4B" w:rsidRPr="00B52B4B" w:rsidRDefault="00B52B4B" w:rsidP="004F5A98">
      <w:pPr>
        <w:spacing w:after="0" w:line="240" w:lineRule="auto"/>
        <w:ind w:firstLine="1080"/>
        <w:jc w:val="both"/>
        <w:rPr>
          <w:rFonts w:ascii="Times New Roman" w:hAnsi="Times New Roman" w:cs="Times New Roman"/>
          <w:sz w:val="28"/>
          <w:szCs w:val="28"/>
          <w:lang w:val="uk-UA"/>
        </w:rPr>
      </w:pPr>
    </w:p>
    <w:p w:rsidR="00B52B4B" w:rsidRPr="00B52B4B" w:rsidRDefault="00B52B4B" w:rsidP="00B52B4B">
      <w:pPr>
        <w:spacing w:after="0" w:line="240" w:lineRule="auto"/>
        <w:ind w:firstLine="1080"/>
        <w:jc w:val="both"/>
        <w:rPr>
          <w:rFonts w:ascii="Times New Roman" w:hAnsi="Times New Roman" w:cs="Times New Roman"/>
          <w:sz w:val="28"/>
          <w:szCs w:val="28"/>
          <w:lang w:val="uk-UA"/>
        </w:rPr>
      </w:pPr>
      <w:r w:rsidRPr="00B52B4B">
        <w:rPr>
          <w:rFonts w:ascii="Times New Roman" w:hAnsi="Times New Roman" w:cs="Times New Roman"/>
          <w:noProof/>
          <w:sz w:val="20"/>
          <w:szCs w:val="20"/>
        </w:rPr>
        <w:lastRenderedPageBreak/>
        <w:drawing>
          <wp:inline distT="0" distB="0" distL="0" distR="0">
            <wp:extent cx="4876800" cy="3095625"/>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52B4B" w:rsidRPr="00B52B4B" w:rsidRDefault="00B52B4B" w:rsidP="00B52B4B">
      <w:pPr>
        <w:spacing w:after="0" w:line="240" w:lineRule="auto"/>
        <w:rPr>
          <w:rFonts w:ascii="Times New Roman" w:hAnsi="Times New Roman" w:cs="Times New Roman"/>
          <w:lang w:val="uk-UA"/>
        </w:rPr>
      </w:pPr>
    </w:p>
    <w:p w:rsidR="00B52B4B" w:rsidRPr="00B52B4B" w:rsidRDefault="00B52B4B" w:rsidP="00A8742C">
      <w:pPr>
        <w:spacing w:after="0" w:line="240" w:lineRule="auto"/>
        <w:ind w:firstLine="708"/>
        <w:jc w:val="both"/>
        <w:rPr>
          <w:rFonts w:ascii="Times New Roman" w:hAnsi="Times New Roman" w:cs="Times New Roman"/>
          <w:lang w:val="uk-UA"/>
        </w:rPr>
      </w:pPr>
      <w:r w:rsidRPr="00B52B4B">
        <w:rPr>
          <w:rFonts w:ascii="Times New Roman" w:hAnsi="Times New Roman" w:cs="Times New Roman"/>
          <w:sz w:val="28"/>
          <w:szCs w:val="28"/>
          <w:lang w:val="uk-UA"/>
        </w:rPr>
        <w:t>Показник   народжуваності  в  порівнянні   з 2012 роком    має  тенденцію до  зниження</w:t>
      </w:r>
      <w:r w:rsidRPr="00B52B4B">
        <w:rPr>
          <w:rFonts w:ascii="Times New Roman" w:hAnsi="Times New Roman" w:cs="Times New Roman"/>
          <w:lang w:val="uk-UA"/>
        </w:rPr>
        <w:t xml:space="preserve"> ,  </w:t>
      </w:r>
      <w:r w:rsidRPr="002111B7">
        <w:rPr>
          <w:rFonts w:ascii="Times New Roman" w:hAnsi="Times New Roman" w:cs="Times New Roman"/>
          <w:sz w:val="28"/>
          <w:szCs w:val="28"/>
          <w:lang w:val="uk-UA"/>
        </w:rPr>
        <w:t>в  розрізі  закладів</w:t>
      </w:r>
      <w:r w:rsidRPr="00B52B4B">
        <w:rPr>
          <w:rFonts w:ascii="Times New Roman" w:hAnsi="Times New Roman" w:cs="Times New Roman"/>
          <w:lang w:val="uk-UA"/>
        </w:rPr>
        <w:t xml:space="preserve">  </w:t>
      </w:r>
      <w:r w:rsidRPr="00B52B4B">
        <w:rPr>
          <w:rFonts w:ascii="Times New Roman" w:hAnsi="Times New Roman" w:cs="Times New Roman"/>
          <w:sz w:val="28"/>
          <w:szCs w:val="28"/>
          <w:lang w:val="uk-UA"/>
        </w:rPr>
        <w:t xml:space="preserve">нижча   за  середньо районний  показник   народжуваність   по АЗПСМ  с. Коровинці (5,5),    с. </w:t>
      </w:r>
      <w:r w:rsidR="002111B7">
        <w:rPr>
          <w:rFonts w:ascii="Times New Roman" w:hAnsi="Times New Roman" w:cs="Times New Roman"/>
          <w:sz w:val="28"/>
          <w:szCs w:val="28"/>
          <w:lang w:val="uk-UA"/>
        </w:rPr>
        <w:t xml:space="preserve"> Вільшана  (4,6) ,</w:t>
      </w:r>
      <w:r w:rsidRPr="00B52B4B">
        <w:rPr>
          <w:rFonts w:ascii="Times New Roman" w:hAnsi="Times New Roman" w:cs="Times New Roman"/>
          <w:sz w:val="28"/>
          <w:szCs w:val="28"/>
          <w:lang w:val="uk-UA"/>
        </w:rPr>
        <w:t xml:space="preserve">  с. Томашівка ( 4,1)  на 1000  населення .                                                    Загальна  смертність по  району  зросла  на 13,31%   -   померло 562  людей , показник 21,8 на 1000  населення ( 2012 р – 19,1) . Загальна  смертність   серед  міських  мешканців    зросла  в 1,62  рази і становить  30,2 на 1000  населення  , серед  сільського   зменшилася  до  17,5  ( 2012 р – 19,3)   на 1000 осіб. </w:t>
      </w:r>
    </w:p>
    <w:p w:rsidR="00B52B4B" w:rsidRPr="00B52B4B" w:rsidRDefault="00B52B4B" w:rsidP="00B52B4B">
      <w:pPr>
        <w:spacing w:after="0" w:line="240" w:lineRule="auto"/>
        <w:rPr>
          <w:rFonts w:ascii="Times New Roman" w:hAnsi="Times New Roman" w:cs="Times New Roman"/>
          <w:lang w:val="uk-UA"/>
        </w:rPr>
      </w:pPr>
      <w:r w:rsidRPr="00B52B4B">
        <w:rPr>
          <w:rFonts w:ascii="Times New Roman" w:hAnsi="Times New Roman" w:cs="Times New Roman"/>
          <w:noProof/>
          <w:sz w:val="20"/>
          <w:szCs w:val="20"/>
        </w:rPr>
        <w:drawing>
          <wp:inline distT="0" distB="0" distL="0" distR="0">
            <wp:extent cx="5467350" cy="2667000"/>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B52B4B" w:rsidRPr="00B52B4B" w:rsidRDefault="00B52B4B" w:rsidP="00B52B4B">
      <w:pPr>
        <w:spacing w:after="0" w:line="240" w:lineRule="auto"/>
        <w:rPr>
          <w:rFonts w:ascii="Times New Roman" w:hAnsi="Times New Roman" w:cs="Times New Roman"/>
          <w:lang w:val="uk-UA"/>
        </w:rPr>
      </w:pPr>
    </w:p>
    <w:p w:rsidR="00B52B4B" w:rsidRPr="00B52B4B" w:rsidRDefault="00B52B4B" w:rsidP="002111B7">
      <w:pPr>
        <w:spacing w:after="0" w:line="240" w:lineRule="auto"/>
        <w:ind w:firstLine="708"/>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Висока   загальна  смертність по АЗПСМ   с. Томашівка (25,6) ,                          с. Деркачівка  (31,2) , с. Хоружівка  (29,1) , с. Коровинці ( 22,2)  на 1000 населення   і  є  вищою  за  середньо районний  показник .</w:t>
      </w:r>
    </w:p>
    <w:p w:rsidR="00B52B4B" w:rsidRPr="00B52B4B" w:rsidRDefault="00B52B4B" w:rsidP="002111B7">
      <w:pPr>
        <w:spacing w:after="0" w:line="240" w:lineRule="auto"/>
        <w:ind w:firstLine="708"/>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По  АЗПСМ   смт. Терни   смертність (22,6),   що  дещо  нижче  за показник   загальної   смертності  міського  населення   по  району .</w:t>
      </w:r>
    </w:p>
    <w:p w:rsidR="00B52B4B" w:rsidRPr="00B52B4B" w:rsidRDefault="00B52B4B" w:rsidP="002111B7">
      <w:pPr>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ab/>
        <w:t xml:space="preserve">В  працездатному  віці  смертність зросла  на 5,1 % - померло 82 особи </w:t>
      </w:r>
    </w:p>
    <w:p w:rsidR="00B52B4B" w:rsidRPr="00B52B4B" w:rsidRDefault="00B52B4B" w:rsidP="002111B7">
      <w:pPr>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lastRenderedPageBreak/>
        <w:t xml:space="preserve">          В  структурі  загальної  смертності : </w:t>
      </w:r>
    </w:p>
    <w:p w:rsidR="00B52B4B" w:rsidRPr="00B52B4B" w:rsidRDefault="00B52B4B" w:rsidP="002111B7">
      <w:pPr>
        <w:numPr>
          <w:ilvl w:val="0"/>
          <w:numId w:val="3"/>
        </w:numPr>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хвороби  системи  кровообігу  -  69,9 %    (2012 р-72,4%), </w:t>
      </w:r>
    </w:p>
    <w:p w:rsidR="00B52B4B" w:rsidRPr="00B52B4B" w:rsidRDefault="00B52B4B" w:rsidP="002111B7">
      <w:pPr>
        <w:numPr>
          <w:ilvl w:val="0"/>
          <w:numId w:val="3"/>
        </w:numPr>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новоутворення   -  13,4%    (2012 р – 13,1 %),  </w:t>
      </w:r>
    </w:p>
    <w:p w:rsidR="00B52B4B" w:rsidRPr="00B52B4B" w:rsidRDefault="00B52B4B" w:rsidP="002111B7">
      <w:pPr>
        <w:numPr>
          <w:ilvl w:val="0"/>
          <w:numId w:val="3"/>
        </w:numPr>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травми  та  отруєння   - 7,3%    ( 2012 р  - 7,5 %)</w:t>
      </w:r>
    </w:p>
    <w:p w:rsidR="00B52B4B" w:rsidRPr="00B52B4B" w:rsidRDefault="00B52B4B" w:rsidP="002111B7">
      <w:pPr>
        <w:spacing w:after="0" w:line="240" w:lineRule="auto"/>
        <w:jc w:val="both"/>
        <w:rPr>
          <w:rFonts w:ascii="Times New Roman" w:hAnsi="Times New Roman" w:cs="Times New Roman"/>
          <w:lang w:val="uk-UA"/>
        </w:rPr>
      </w:pPr>
    </w:p>
    <w:p w:rsidR="00B52B4B" w:rsidRPr="002111B7" w:rsidRDefault="00B52B4B" w:rsidP="008C636C">
      <w:pPr>
        <w:spacing w:after="0" w:line="240" w:lineRule="auto"/>
        <w:rPr>
          <w:rFonts w:ascii="Times New Roman" w:hAnsi="Times New Roman" w:cs="Times New Roman"/>
          <w:b/>
          <w:sz w:val="28"/>
          <w:szCs w:val="28"/>
          <w:lang w:val="uk-UA"/>
        </w:rPr>
      </w:pPr>
      <w:r w:rsidRPr="002111B7">
        <w:rPr>
          <w:rFonts w:ascii="Times New Roman" w:hAnsi="Times New Roman" w:cs="Times New Roman"/>
          <w:b/>
          <w:sz w:val="28"/>
          <w:szCs w:val="28"/>
          <w:lang w:val="uk-UA"/>
        </w:rPr>
        <w:t>Структура</w:t>
      </w:r>
      <w:r w:rsidR="008C636C">
        <w:rPr>
          <w:rFonts w:ascii="Times New Roman" w:hAnsi="Times New Roman" w:cs="Times New Roman"/>
          <w:b/>
          <w:sz w:val="28"/>
          <w:szCs w:val="28"/>
          <w:lang w:val="uk-UA"/>
        </w:rPr>
        <w:t xml:space="preserve"> </w:t>
      </w:r>
      <w:r w:rsidRPr="002111B7">
        <w:rPr>
          <w:rFonts w:ascii="Times New Roman" w:hAnsi="Times New Roman" w:cs="Times New Roman"/>
          <w:b/>
          <w:sz w:val="28"/>
          <w:szCs w:val="28"/>
          <w:lang w:val="uk-UA"/>
        </w:rPr>
        <w:t>загальної  смертності населення  району</w:t>
      </w:r>
      <w:r w:rsidR="008C636C">
        <w:rPr>
          <w:rFonts w:ascii="Times New Roman" w:hAnsi="Times New Roman" w:cs="Times New Roman"/>
          <w:b/>
          <w:sz w:val="28"/>
          <w:szCs w:val="28"/>
          <w:lang w:val="uk-UA"/>
        </w:rPr>
        <w:t xml:space="preserve"> ( на 1000 населення )</w:t>
      </w:r>
    </w:p>
    <w:p w:rsidR="00B52B4B" w:rsidRPr="00B52B4B" w:rsidRDefault="00B52B4B" w:rsidP="00B52B4B">
      <w:pPr>
        <w:spacing w:after="0" w:line="240" w:lineRule="auto"/>
        <w:rPr>
          <w:rFonts w:ascii="Times New Roman" w:hAnsi="Times New Roman" w:cs="Times New Roman"/>
          <w:lang w:val="uk-UA"/>
        </w:rPr>
      </w:pPr>
      <w:r w:rsidRPr="00B52B4B">
        <w:rPr>
          <w:rFonts w:ascii="Times New Roman" w:hAnsi="Times New Roman" w:cs="Times New Roman"/>
          <w:lang w:val="uk-UA"/>
        </w:rPr>
        <w:tab/>
      </w:r>
      <w:r w:rsidRPr="00B52B4B">
        <w:rPr>
          <w:rFonts w:ascii="Times New Roman" w:hAnsi="Times New Roman" w:cs="Times New Roman"/>
          <w:noProof/>
          <w:sz w:val="20"/>
          <w:szCs w:val="20"/>
        </w:rPr>
        <w:drawing>
          <wp:inline distT="0" distB="0" distL="0" distR="0">
            <wp:extent cx="5505450" cy="2600325"/>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B52B4B" w:rsidRPr="00B52B4B" w:rsidRDefault="00B52B4B" w:rsidP="00B52B4B">
      <w:pPr>
        <w:spacing w:after="0" w:line="240" w:lineRule="auto"/>
        <w:rPr>
          <w:rFonts w:ascii="Times New Roman" w:hAnsi="Times New Roman" w:cs="Times New Roman"/>
          <w:sz w:val="28"/>
          <w:szCs w:val="28"/>
          <w:lang w:val="uk-UA"/>
        </w:rPr>
      </w:pPr>
      <w:r w:rsidRPr="00B52B4B">
        <w:rPr>
          <w:rFonts w:ascii="Times New Roman" w:hAnsi="Times New Roman" w:cs="Times New Roman"/>
          <w:lang w:val="uk-UA"/>
        </w:rPr>
        <w:tab/>
      </w:r>
      <w:r w:rsidRPr="00B52B4B">
        <w:rPr>
          <w:rFonts w:ascii="Times New Roman" w:hAnsi="Times New Roman" w:cs="Times New Roman"/>
          <w:sz w:val="28"/>
          <w:szCs w:val="28"/>
          <w:lang w:val="uk-UA"/>
        </w:rPr>
        <w:t xml:space="preserve">Під   наглядом  первинних  закладах перебували 22881 диспансерних хворих , або 89,1 % від загальної  кількості населення   району . </w:t>
      </w:r>
    </w:p>
    <w:p w:rsidR="00B52B4B" w:rsidRPr="00B52B4B" w:rsidRDefault="00B52B4B" w:rsidP="008C636C">
      <w:pPr>
        <w:tabs>
          <w:tab w:val="left" w:pos="851"/>
        </w:tabs>
        <w:spacing w:after="0" w:line="240" w:lineRule="auto"/>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Своєчасне виявлення захворювань , оздоровлення  та  диспансеризація  приводить до зниження  інвалідизації населення  , яка  в 2013 році   становить 26,1  на 10 тис. дорослого    та 37,4   на 10 тисяч  осіб  працездатного  віку   і є  в 1,9 рази   меншою  за  показники    2012 року . </w:t>
      </w:r>
    </w:p>
    <w:p w:rsidR="00B52B4B" w:rsidRPr="00B52B4B" w:rsidRDefault="00B52B4B" w:rsidP="008C636C">
      <w:pPr>
        <w:tabs>
          <w:tab w:val="left" w:pos="2850"/>
        </w:tabs>
        <w:spacing w:after="0" w:line="240" w:lineRule="auto"/>
        <w:jc w:val="center"/>
        <w:rPr>
          <w:rFonts w:ascii="Times New Roman" w:hAnsi="Times New Roman" w:cs="Times New Roman"/>
          <w:sz w:val="28"/>
          <w:szCs w:val="28"/>
          <w:lang w:val="uk-UA"/>
        </w:rPr>
      </w:pPr>
      <w:r w:rsidRPr="008C636C">
        <w:rPr>
          <w:rFonts w:ascii="Times New Roman" w:hAnsi="Times New Roman" w:cs="Times New Roman"/>
          <w:b/>
          <w:sz w:val="28"/>
          <w:szCs w:val="28"/>
          <w:lang w:val="uk-UA"/>
        </w:rPr>
        <w:t>Структура</w:t>
      </w:r>
      <w:r w:rsidR="008C636C" w:rsidRPr="008C636C">
        <w:rPr>
          <w:rFonts w:ascii="Times New Roman" w:hAnsi="Times New Roman" w:cs="Times New Roman"/>
          <w:b/>
          <w:sz w:val="28"/>
          <w:szCs w:val="28"/>
          <w:lang w:val="uk-UA"/>
        </w:rPr>
        <w:t xml:space="preserve"> </w:t>
      </w:r>
      <w:r w:rsidRPr="008C636C">
        <w:rPr>
          <w:rFonts w:ascii="Times New Roman" w:hAnsi="Times New Roman" w:cs="Times New Roman"/>
          <w:b/>
          <w:sz w:val="28"/>
          <w:szCs w:val="28"/>
          <w:lang w:val="uk-UA"/>
        </w:rPr>
        <w:t>диспа</w:t>
      </w:r>
      <w:r w:rsidR="008C636C">
        <w:rPr>
          <w:rFonts w:ascii="Times New Roman" w:hAnsi="Times New Roman" w:cs="Times New Roman"/>
          <w:b/>
          <w:sz w:val="28"/>
          <w:szCs w:val="28"/>
          <w:lang w:val="uk-UA"/>
        </w:rPr>
        <w:t>нсерної групи слідуюча   ( в %)</w:t>
      </w:r>
      <w:r w:rsidRPr="00B52B4B">
        <w:rPr>
          <w:rFonts w:ascii="Times New Roman" w:hAnsi="Times New Roman" w:cs="Times New Roman"/>
          <w:noProof/>
          <w:sz w:val="28"/>
          <w:szCs w:val="28"/>
        </w:rPr>
        <w:drawing>
          <wp:inline distT="0" distB="0" distL="0" distR="0">
            <wp:extent cx="6715125" cy="3543300"/>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Pr="00B52B4B">
        <w:rPr>
          <w:rFonts w:ascii="Times New Roman" w:hAnsi="Times New Roman" w:cs="Times New Roman"/>
          <w:sz w:val="28"/>
          <w:szCs w:val="28"/>
          <w:lang w:val="uk-UA"/>
        </w:rPr>
        <w:t xml:space="preserve">            Враховуючи те , що    в структурі диспансерної  групи  хворі   з </w:t>
      </w:r>
      <w:r w:rsidRPr="00B52B4B">
        <w:rPr>
          <w:rFonts w:ascii="Times New Roman" w:hAnsi="Times New Roman" w:cs="Times New Roman"/>
          <w:sz w:val="28"/>
          <w:szCs w:val="28"/>
          <w:lang w:val="uk-UA"/>
        </w:rPr>
        <w:lastRenderedPageBreak/>
        <w:t>хворобами  системи  кровообігу  становлять     40% , а в  класі  ХСК      гіпертонічна  хвороба  66,5 % ,  робота  закладів  ЦПМСД  була  спрямована    на  виконання пілотного проекту  щодо   часткового  відшкодування  вартості  лікарських  засобів   для  осіб  з гіпертонічною хворобою. Під  диспансерним  наглядом перебувало  на  кінець  звітного  року  6010 осіб.</w:t>
      </w:r>
    </w:p>
    <w:p w:rsidR="00B52B4B" w:rsidRPr="00B52B4B" w:rsidRDefault="00B52B4B" w:rsidP="00BE3ACF">
      <w:pPr>
        <w:tabs>
          <w:tab w:val="left" w:pos="851"/>
        </w:tabs>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ab/>
        <w:t xml:space="preserve">Всього  за 2013 рік  було  виписано  23000  рецептів  на суму 85935,66  тис. грн.  Не  забезпечене 100 % використання суми  відшкодування  в зв’язку з  несвоєчасним  надходженням коштів  в  аптечні  заклади , які  відпускають медикаменти  за  пільговими  рецептами . </w:t>
      </w:r>
    </w:p>
    <w:p w:rsidR="00B52B4B" w:rsidRPr="00B52B4B" w:rsidRDefault="00B52B4B" w:rsidP="00BE3ACF">
      <w:pPr>
        <w:tabs>
          <w:tab w:val="left" w:pos="851"/>
        </w:tabs>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ab/>
        <w:t>В закладах  ЦПМСД  діють 52  ліжка  денного  стаціонару , що становить  20,3 на 10 тисяч  населення    ( середньорайонний показник   по  області 20,0) .</w:t>
      </w:r>
    </w:p>
    <w:p w:rsidR="00B52B4B" w:rsidRPr="00B52B4B" w:rsidRDefault="00B52B4B" w:rsidP="00BE3ACF">
      <w:pPr>
        <w:tabs>
          <w:tab w:val="left" w:pos="851"/>
        </w:tabs>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Кількість хворих  пролікованих в денних  стаціонарах  зросла  на 3,0 %    (проліковано 1792 хворих) .    Показник  на 10 тисяч  населення  698,0      при  обласному      589,4 . </w:t>
      </w:r>
    </w:p>
    <w:p w:rsidR="00BE3ACF" w:rsidRDefault="00B52B4B" w:rsidP="00BE3ACF">
      <w:pPr>
        <w:tabs>
          <w:tab w:val="left" w:pos="851"/>
        </w:tabs>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ab/>
        <w:t xml:space="preserve"> Ефективно  використовувалися   денні  ліжка  в АЗПСМ    с.  Хоружівка         ( 1338,0 на 10 тисяч населення) , АЗПСМ с. Деркачівка   </w:t>
      </w:r>
    </w:p>
    <w:p w:rsidR="00B52B4B" w:rsidRPr="00B52B4B" w:rsidRDefault="00B52B4B" w:rsidP="00BE3ACF">
      <w:pPr>
        <w:tabs>
          <w:tab w:val="left" w:pos="851"/>
        </w:tabs>
        <w:spacing w:after="0" w:line="240" w:lineRule="auto"/>
        <w:jc w:val="both"/>
        <w:rPr>
          <w:rFonts w:ascii="Times New Roman" w:hAnsi="Times New Roman" w:cs="Times New Roman"/>
          <w:sz w:val="28"/>
          <w:szCs w:val="28"/>
          <w:lang w:val="uk-UA"/>
        </w:rPr>
      </w:pPr>
      <w:r w:rsidRPr="00B52B4B">
        <w:rPr>
          <w:rFonts w:ascii="Times New Roman" w:hAnsi="Times New Roman" w:cs="Times New Roman"/>
          <w:sz w:val="28"/>
          <w:szCs w:val="28"/>
          <w:lang w:val="uk-UA"/>
        </w:rPr>
        <w:t xml:space="preserve">( 1046 на  10 тисяч населення ), АЗПСМ  с. Вільшана    ( 922,1 на 10 тис. населення). </w:t>
      </w:r>
    </w:p>
    <w:p w:rsidR="00B52B4B" w:rsidRPr="00B52B4B" w:rsidRDefault="002F4FD5" w:rsidP="00BE3ACF">
      <w:pPr>
        <w:tabs>
          <w:tab w:val="left" w:pos="851"/>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Враховуючи  те</w:t>
      </w:r>
      <w:r w:rsidR="00B52B4B" w:rsidRPr="00B52B4B">
        <w:rPr>
          <w:rFonts w:ascii="Times New Roman" w:hAnsi="Times New Roman" w:cs="Times New Roman"/>
          <w:sz w:val="28"/>
          <w:szCs w:val="28"/>
          <w:lang w:val="uk-UA"/>
        </w:rPr>
        <w:t>,  що  матеріально – технічна база   первинних   закладів  не  в</w:t>
      </w:r>
      <w:r>
        <w:rPr>
          <w:rFonts w:ascii="Times New Roman" w:hAnsi="Times New Roman" w:cs="Times New Roman"/>
          <w:sz w:val="28"/>
          <w:szCs w:val="28"/>
          <w:lang w:val="uk-UA"/>
        </w:rPr>
        <w:t xml:space="preserve">ідповідає  табелям   оснащення </w:t>
      </w:r>
      <w:r w:rsidR="00B52B4B" w:rsidRPr="00B52B4B">
        <w:rPr>
          <w:rFonts w:ascii="Times New Roman" w:hAnsi="Times New Roman" w:cs="Times New Roman"/>
          <w:sz w:val="28"/>
          <w:szCs w:val="28"/>
          <w:lang w:val="uk-UA"/>
        </w:rPr>
        <w:t>,  затверджених наказом МОЗ України  від 23.02.12 року №131, в 2013 році  була  підготовлена  та затверджена   сесією районної   ради  Районна  програма   поліпшення  умов  функціонування   сільських  закладів охорони здоров’я  на 2013 рік .</w:t>
      </w:r>
    </w:p>
    <w:p w:rsidR="00F24FDE" w:rsidRDefault="00F24FDE" w:rsidP="00BE3ACF">
      <w:pPr>
        <w:spacing w:after="0" w:line="240" w:lineRule="auto"/>
        <w:ind w:firstLine="414"/>
        <w:jc w:val="both"/>
        <w:rPr>
          <w:sz w:val="28"/>
          <w:szCs w:val="28"/>
          <w:lang w:val="uk-UA"/>
        </w:rPr>
      </w:pPr>
    </w:p>
    <w:p w:rsidR="000F307C" w:rsidRDefault="002F4FD5" w:rsidP="002F4FD5">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ЦРЛ</w:t>
      </w:r>
    </w:p>
    <w:p w:rsidR="00A6088C" w:rsidRPr="00A6088C" w:rsidRDefault="00A6088C" w:rsidP="00A6088C">
      <w:pPr>
        <w:pStyle w:val="a7"/>
        <w:jc w:val="both"/>
        <w:rPr>
          <w:rFonts w:ascii="Times New Roman" w:hAnsi="Times New Roman" w:cs="Times New Roman"/>
          <w:sz w:val="28"/>
          <w:szCs w:val="28"/>
          <w:lang w:val="uk-UA"/>
        </w:rPr>
      </w:pPr>
      <w:r>
        <w:rPr>
          <w:lang w:val="uk-UA"/>
        </w:rPr>
        <w:t xml:space="preserve">    </w:t>
      </w:r>
      <w:r w:rsidRPr="00A6088C">
        <w:rPr>
          <w:rFonts w:ascii="Times New Roman" w:hAnsi="Times New Roman" w:cs="Times New Roman"/>
          <w:sz w:val="28"/>
          <w:szCs w:val="28"/>
          <w:lang w:val="uk-UA"/>
        </w:rPr>
        <w:t xml:space="preserve">          Діяльність закладів охорони здоров»я  району в 2013  році була  спрямована  на  виконання  «Програми економічних  реформ  на 2010 -2014 роки «Заможне  суспільство, конкурентноспроможна  економіка,  ефективна  держава»  у  сфері  охорони  здоров’я  та     соціально -  економічного  розвитку   району ,  забезпечення  населення  доступною  , якісною , кваліфікованою  медичною  допомогою  згідно  стандартів    якості  та  клінічних  протоколів ,  впровадженя багатоканального  фінансування   шляхом залучення  позабюджетних  надходжень.</w:t>
      </w:r>
    </w:p>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xml:space="preserve">       У рамках започаткованих реформ в районі проведена модернізація первинної мережі надання медичної допомоги.   На виконання плану заходів по модернізації первинної ланки рішенням сесії районної ради в районі створений центр ПМСД, як юридична особа, який приступив до роботи 01.01.2013 року. План реорганізації первинних закладів в заклади загальної практики сімейної медицини в районі виконаний . В районі реорганізовані і діють  7 амбулаторій ЗПСМ, на 6  сільських  дільницях , 1 на базі поліклінічного відділення ЦРЛ смт. Недригайлів.</w:t>
      </w:r>
    </w:p>
    <w:p w:rsidR="00A6088C" w:rsidRPr="00A6088C" w:rsidRDefault="00A6088C" w:rsidP="00A6088C">
      <w:pPr>
        <w:spacing w:line="240" w:lineRule="auto"/>
        <w:jc w:val="both"/>
        <w:rPr>
          <w:rFonts w:ascii="Times New Roman" w:hAnsi="Times New Roman" w:cs="Times New Roman"/>
          <w:sz w:val="28"/>
          <w:szCs w:val="28"/>
          <w:lang w:val="uk-UA"/>
        </w:rPr>
      </w:pPr>
    </w:p>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lastRenderedPageBreak/>
        <w:t xml:space="preserve">          На виконання спільного розпорядження голів Сумської державної адміністрації, Сумської обласної ради від 12.10.12р.№411-ОД/33 з метою підвищення доступності та поліпшення якості екстреної медичної допомоги населенню району, впровадження нових підходів та їх фінансування, згідно рішення  двадцять першої сесії шостого скликання Недригайлівської районної ради  в 2013 році проведено реформування системи екстреної медичної допомоги району. З 19.03.13р. працівники відділення швидкої допомоги району переведені до КЗСОР «Центр екстреної медичної допомоги та медицини катастроф».</w:t>
      </w:r>
    </w:p>
    <w:p w:rsidR="00A6088C" w:rsidRPr="00A6088C" w:rsidRDefault="00A6088C" w:rsidP="00A6088C">
      <w:pPr>
        <w:spacing w:after="120" w:line="240" w:lineRule="auto"/>
        <w:ind w:firstLine="708"/>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Проведена атестація клініко-діагностичної лабораторії Недригайлівської  ЦРЛ на право проведення вимірювань у сфері поширення державного метрологічного нагляду в галузі охорони здоров’я – свідоцтво про атестацію вимірювальної лабораторії від 24.04.13 року №003274 (чинне до 24.04.17 року).</w:t>
      </w:r>
    </w:p>
    <w:p w:rsidR="00A6088C" w:rsidRPr="00A6088C" w:rsidRDefault="00A6088C" w:rsidP="00782DB3">
      <w:pPr>
        <w:tabs>
          <w:tab w:val="left" w:pos="5040"/>
        </w:tabs>
        <w:spacing w:after="120" w:line="240" w:lineRule="auto"/>
        <w:jc w:val="both"/>
        <w:rPr>
          <w:rFonts w:ascii="Times New Roman" w:hAnsi="Times New Roman" w:cs="Times New Roman"/>
          <w:sz w:val="28"/>
          <w:szCs w:val="28"/>
          <w:lang w:val="uk-UA"/>
        </w:rPr>
      </w:pPr>
      <w:r w:rsidRPr="00A6088C">
        <w:rPr>
          <w:rFonts w:ascii="Times New Roman" w:hAnsi="Times New Roman" w:cs="Times New Roman"/>
          <w:snapToGrid w:val="0"/>
          <w:color w:val="000000"/>
          <w:w w:val="0"/>
          <w:sz w:val="28"/>
          <w:szCs w:val="28"/>
          <w:u w:color="000000"/>
          <w:bdr w:val="none" w:sz="0" w:space="0" w:color="000000"/>
          <w:shd w:val="clear" w:color="000000" w:fill="000000"/>
          <w:lang w:val="uk-UA"/>
        </w:rPr>
        <w:t xml:space="preserve"> </w:t>
      </w:r>
      <w:r w:rsidRPr="00A6088C">
        <w:rPr>
          <w:rFonts w:ascii="Times New Roman" w:hAnsi="Times New Roman" w:cs="Times New Roman"/>
          <w:sz w:val="28"/>
          <w:szCs w:val="28"/>
          <w:lang w:val="uk-UA"/>
        </w:rPr>
        <w:t>Згідно наказу УОЗ Сумської обласної державної адміністрації від 21.06.13 року №509-ОД в районі 26.06.2013 року проведена експертиза відповідності критеріям державної акредитації Недригайлівської центральної районної лікарні.</w:t>
      </w:r>
    </w:p>
    <w:p w:rsidR="00A6088C" w:rsidRPr="00A6088C" w:rsidRDefault="00A6088C" w:rsidP="00A6088C">
      <w:pPr>
        <w:pStyle w:val="a7"/>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xml:space="preserve">           У 2013 році  позитивно вирішене кадрове питання, з серпня місяця в центральній районній лікарні приступили до роботи 4 молодих спеціалісти: анестезіолог, акушер-гінеколог та уролог, лікар-ортопед, що дозволило повноцінно надавати медичну допомогу населенню району (проведення оперативних втручань та приймання пологів). </w:t>
      </w:r>
    </w:p>
    <w:p w:rsidR="00A6088C" w:rsidRPr="00A6088C" w:rsidRDefault="00A6088C" w:rsidP="00A6088C">
      <w:pPr>
        <w:pStyle w:val="a7"/>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xml:space="preserve">           З метою поліпшення якості надання медичної допомоги, удосконалення технічного  забезпечення медичних оглядів , диспансерного спостереження, попередження розвитку онкологічних захворювань, відповідно до наказу МОЗ України від 27.08.2010р.№728, рішенням Недригайлівської районної ради від</w:t>
      </w:r>
      <w:r w:rsidR="00731B99">
        <w:rPr>
          <w:rFonts w:ascii="Times New Roman" w:hAnsi="Times New Roman" w:cs="Times New Roman"/>
          <w:sz w:val="28"/>
          <w:szCs w:val="28"/>
          <w:lang w:val="uk-UA"/>
        </w:rPr>
        <w:t xml:space="preserve"> </w:t>
      </w:r>
      <w:r w:rsidRPr="00A6088C">
        <w:rPr>
          <w:rFonts w:ascii="Times New Roman" w:hAnsi="Times New Roman" w:cs="Times New Roman"/>
          <w:sz w:val="28"/>
          <w:szCs w:val="28"/>
          <w:lang w:val="uk-UA"/>
        </w:rPr>
        <w:t xml:space="preserve">01.03.2013 року затверджена «Програма поліпшення якості надання медичної допомоги жителям Недригайлівського району на 2013 рік». Згідно даного   рішення  проведена передача міжбюджетного трансферту та  придбаний  і встановлений в червні місяці 2013 року в поліклінічному відділенні ЦРЛ діагностичний  комплекс  «Кардіо+», який складається з трьох складових частин: </w:t>
      </w:r>
      <w:r w:rsidR="00731B99">
        <w:rPr>
          <w:rFonts w:ascii="Times New Roman" w:hAnsi="Times New Roman" w:cs="Times New Roman"/>
          <w:sz w:val="28"/>
          <w:szCs w:val="28"/>
          <w:lang w:val="uk-UA"/>
        </w:rPr>
        <w:t>електрокардіографа, спірограма,</w:t>
      </w:r>
      <w:r w:rsidRPr="00A6088C">
        <w:rPr>
          <w:rFonts w:ascii="Times New Roman" w:hAnsi="Times New Roman" w:cs="Times New Roman"/>
          <w:sz w:val="28"/>
          <w:szCs w:val="28"/>
          <w:lang w:val="uk-UA"/>
        </w:rPr>
        <w:t>реографа.</w:t>
      </w:r>
      <w:r w:rsidRPr="00A6088C">
        <w:rPr>
          <w:rFonts w:ascii="Times New Roman" w:hAnsi="Times New Roman" w:cs="Times New Roman"/>
          <w:snapToGrid w:val="0"/>
          <w:color w:val="000000"/>
          <w:w w:val="0"/>
          <w:sz w:val="28"/>
          <w:szCs w:val="28"/>
          <w:u w:color="000000"/>
          <w:bdr w:val="none" w:sz="0" w:space="0" w:color="000000"/>
          <w:shd w:val="clear" w:color="000000" w:fill="000000"/>
          <w:lang w:val="uk-UA"/>
        </w:rPr>
        <w:t xml:space="preserve"> </w:t>
      </w:r>
    </w:p>
    <w:p w:rsidR="00A6088C" w:rsidRPr="00A6088C" w:rsidRDefault="00A6088C" w:rsidP="00A6088C">
      <w:pPr>
        <w:pStyle w:val="a7"/>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xml:space="preserve">       </w:t>
      </w:r>
    </w:p>
    <w:p w:rsidR="00A6088C" w:rsidRPr="00A6088C" w:rsidRDefault="00A6088C" w:rsidP="00A6088C">
      <w:pPr>
        <w:pStyle w:val="a7"/>
        <w:ind w:firstLine="708"/>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В рамках реалізації завдань та заходів «Регіональної програми боротьби з онкологічними захворюваннями на період до 2016 року» у вересні місяці 2013 року придбаний  «Фіброгастродуоденоскоп біопсійний «Ломо» за кошти субвенцій сільських рад районного бюджету.  Придбання вище вказаного обладнання дало можливість забезпечити   якість медичної допомоги та диспансеризації населення, підвищити  рівень виявлення злоякісних новоутворень, діагностику хвороб серцево-судинної, легеневої систем.</w:t>
      </w:r>
    </w:p>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lastRenderedPageBreak/>
        <w:t>Згідно програми розвитку сільських територій закладів охорони здоров»я району в  2013 році проведена відповідна робота: капітальний ремонт покрівлі поліклінічного відділення, ремонт пральні та приміщення для камерної дезінфекції.</w:t>
      </w:r>
    </w:p>
    <w:p w:rsidR="00A6088C" w:rsidRPr="00A6088C" w:rsidRDefault="00A6088C" w:rsidP="00782DB3">
      <w:pPr>
        <w:spacing w:line="240" w:lineRule="auto"/>
        <w:jc w:val="both"/>
        <w:rPr>
          <w:rFonts w:ascii="Times New Roman" w:hAnsi="Times New Roman" w:cs="Times New Roman"/>
          <w:sz w:val="28"/>
          <w:szCs w:val="28"/>
          <w:lang w:val="uk-UA"/>
        </w:rPr>
      </w:pPr>
      <w:r w:rsidRPr="00A6088C">
        <w:rPr>
          <w:rFonts w:ascii="Times New Roman" w:hAnsi="Times New Roman" w:cs="Times New Roman"/>
          <w:snapToGrid w:val="0"/>
          <w:color w:val="000000"/>
          <w:w w:val="0"/>
          <w:sz w:val="28"/>
          <w:szCs w:val="28"/>
          <w:u w:color="000000"/>
          <w:bdr w:val="none" w:sz="0" w:space="0" w:color="000000"/>
          <w:shd w:val="clear" w:color="000000" w:fill="000000"/>
        </w:rPr>
        <w:t xml:space="preserve"> </w:t>
      </w:r>
      <w:r w:rsidRPr="00A6088C">
        <w:rPr>
          <w:rFonts w:ascii="Times New Roman" w:hAnsi="Times New Roman" w:cs="Times New Roman"/>
          <w:sz w:val="28"/>
          <w:szCs w:val="28"/>
          <w:lang w:val="uk-UA"/>
        </w:rPr>
        <w:t xml:space="preserve">В  роботі  закладів  охорони  здоров’я   в 2013 році  досягнуто по  деяких       службах позитивних  показників : </w:t>
      </w:r>
    </w:p>
    <w:p w:rsidR="00A6088C" w:rsidRPr="00A6088C" w:rsidRDefault="00A6088C" w:rsidP="008A0140">
      <w:pPr>
        <w:spacing w:after="0" w:line="240" w:lineRule="auto"/>
        <w:jc w:val="both"/>
        <w:rPr>
          <w:rFonts w:ascii="Times New Roman" w:hAnsi="Times New Roman" w:cs="Times New Roman"/>
          <w:b/>
          <w:sz w:val="28"/>
          <w:szCs w:val="28"/>
          <w:lang w:val="uk-UA"/>
        </w:rPr>
      </w:pPr>
      <w:r w:rsidRPr="00A6088C">
        <w:rPr>
          <w:rFonts w:ascii="Times New Roman" w:hAnsi="Times New Roman" w:cs="Times New Roman"/>
          <w:sz w:val="28"/>
          <w:szCs w:val="28"/>
          <w:lang w:val="uk-UA"/>
        </w:rPr>
        <w:t xml:space="preserve">- знизився показник захворюваності на туберкульоз на 21%, показник в 2013 році склав 38,9 на 100тис.проти 46,1 у 2012 році </w:t>
      </w:r>
      <w:r w:rsidRPr="00A6088C">
        <w:rPr>
          <w:rFonts w:ascii="Times New Roman" w:hAnsi="Times New Roman" w:cs="Times New Roman"/>
          <w:b/>
          <w:sz w:val="28"/>
          <w:szCs w:val="28"/>
          <w:lang w:val="uk-UA"/>
        </w:rPr>
        <w:t xml:space="preserve">(середньо районний обл. пок. за 2013 рік -54,4). </w:t>
      </w:r>
    </w:p>
    <w:p w:rsidR="00A6088C" w:rsidRPr="00A6088C" w:rsidRDefault="00A6088C" w:rsidP="008A0140">
      <w:pPr>
        <w:spacing w:after="0" w:line="240" w:lineRule="auto"/>
        <w:jc w:val="both"/>
        <w:rPr>
          <w:rFonts w:ascii="Times New Roman" w:hAnsi="Times New Roman" w:cs="Times New Roman"/>
          <w:b/>
          <w:sz w:val="28"/>
          <w:szCs w:val="28"/>
          <w:lang w:val="uk-UA"/>
        </w:rPr>
      </w:pPr>
      <w:r w:rsidRPr="00A6088C">
        <w:rPr>
          <w:rFonts w:ascii="Times New Roman" w:hAnsi="Times New Roman" w:cs="Times New Roman"/>
          <w:sz w:val="28"/>
          <w:szCs w:val="28"/>
          <w:lang w:val="uk-UA"/>
        </w:rPr>
        <w:t xml:space="preserve">  - зріс показник  охопленого населення флюорографічним обстеженням, показник становить (686,4 на 1000 дорослого населення  в 2013 році, проти (606,7 на 1000 дорослого населення) в 2012 році </w:t>
      </w:r>
      <w:r w:rsidRPr="00A6088C">
        <w:rPr>
          <w:rFonts w:ascii="Times New Roman" w:hAnsi="Times New Roman" w:cs="Times New Roman"/>
          <w:b/>
          <w:sz w:val="28"/>
          <w:szCs w:val="28"/>
          <w:lang w:val="uk-UA"/>
        </w:rPr>
        <w:t>(середньо районний обл. пок. за 2013 рік -672,0)</w:t>
      </w:r>
      <w:r w:rsidRPr="00A6088C">
        <w:rPr>
          <w:rFonts w:ascii="Times New Roman" w:hAnsi="Times New Roman" w:cs="Times New Roman"/>
          <w:sz w:val="28"/>
          <w:szCs w:val="28"/>
          <w:lang w:val="uk-UA"/>
        </w:rPr>
        <w:t xml:space="preserve"> </w:t>
      </w:r>
    </w:p>
    <w:p w:rsidR="00A6088C" w:rsidRPr="00A6088C" w:rsidRDefault="00A6088C" w:rsidP="008A0140">
      <w:pPr>
        <w:spacing w:after="0" w:line="240" w:lineRule="auto"/>
        <w:jc w:val="both"/>
        <w:rPr>
          <w:rFonts w:ascii="Times New Roman" w:hAnsi="Times New Roman" w:cs="Times New Roman"/>
          <w:b/>
          <w:sz w:val="28"/>
          <w:szCs w:val="28"/>
          <w:lang w:val="uk-UA"/>
        </w:rPr>
      </w:pPr>
      <w:r w:rsidRPr="00A6088C">
        <w:rPr>
          <w:rFonts w:ascii="Times New Roman" w:hAnsi="Times New Roman" w:cs="Times New Roman"/>
          <w:sz w:val="28"/>
          <w:szCs w:val="28"/>
          <w:lang w:val="uk-UA"/>
        </w:rPr>
        <w:t xml:space="preserve"> -  зросла питома вага виявлення хворих на туберкульоз при флюорографічних проф. оглядах , показник 2013 року 90,0% проти 83,3 в 2012 році.</w:t>
      </w:r>
      <w:r w:rsidRPr="00A6088C">
        <w:rPr>
          <w:rFonts w:ascii="Times New Roman" w:hAnsi="Times New Roman" w:cs="Times New Roman"/>
          <w:b/>
          <w:sz w:val="28"/>
          <w:szCs w:val="28"/>
          <w:lang w:val="uk-UA"/>
        </w:rPr>
        <w:t xml:space="preserve"> (середньо районний обл. пок. за 2013 рік -78,4) </w:t>
      </w:r>
    </w:p>
    <w:p w:rsidR="00A6088C" w:rsidRPr="00A6088C" w:rsidRDefault="00A6088C" w:rsidP="008A0140">
      <w:pPr>
        <w:spacing w:after="0" w:line="240" w:lineRule="auto"/>
        <w:jc w:val="both"/>
        <w:rPr>
          <w:rFonts w:ascii="Times New Roman" w:hAnsi="Times New Roman" w:cs="Times New Roman"/>
          <w:b/>
          <w:sz w:val="28"/>
          <w:szCs w:val="28"/>
          <w:lang w:val="uk-UA"/>
        </w:rPr>
      </w:pPr>
      <w:r w:rsidRPr="00A6088C">
        <w:rPr>
          <w:rFonts w:ascii="Times New Roman" w:hAnsi="Times New Roman" w:cs="Times New Roman"/>
          <w:sz w:val="28"/>
          <w:szCs w:val="28"/>
          <w:lang w:val="uk-UA"/>
        </w:rPr>
        <w:t xml:space="preserve">  -   на рівні минулорічного показника охоплення туберкуліно - діагностикою дитячого населення (на 1000 дітей, що підлягали) в 2013 році показник  склав (981,8) проти  (987,9 в 2012 році)</w:t>
      </w:r>
      <w:r w:rsidRPr="00A6088C">
        <w:rPr>
          <w:rFonts w:ascii="Times New Roman" w:hAnsi="Times New Roman" w:cs="Times New Roman"/>
          <w:b/>
          <w:sz w:val="28"/>
          <w:szCs w:val="28"/>
          <w:lang w:val="uk-UA"/>
        </w:rPr>
        <w:t xml:space="preserve"> ( обл. пок. за 2012 рік -854,8).</w:t>
      </w:r>
    </w:p>
    <w:p w:rsidR="00A6088C" w:rsidRPr="00A6088C" w:rsidRDefault="00A6088C" w:rsidP="008A0140">
      <w:pPr>
        <w:spacing w:after="0" w:line="240" w:lineRule="auto"/>
        <w:jc w:val="both"/>
        <w:rPr>
          <w:rFonts w:ascii="Times New Roman" w:hAnsi="Times New Roman" w:cs="Times New Roman"/>
          <w:b/>
          <w:sz w:val="28"/>
          <w:szCs w:val="28"/>
          <w:lang w:val="uk-UA"/>
        </w:rPr>
      </w:pPr>
    </w:p>
    <w:p w:rsidR="00A6088C" w:rsidRPr="00A6088C" w:rsidRDefault="00A6088C" w:rsidP="008A0140">
      <w:pPr>
        <w:spacing w:after="0" w:line="240" w:lineRule="auto"/>
        <w:jc w:val="both"/>
        <w:rPr>
          <w:rFonts w:ascii="Times New Roman" w:hAnsi="Times New Roman" w:cs="Times New Roman"/>
          <w:b/>
          <w:sz w:val="28"/>
          <w:szCs w:val="28"/>
          <w:lang w:val="uk-UA"/>
        </w:rPr>
      </w:pPr>
      <w:r w:rsidRPr="00A6088C">
        <w:rPr>
          <w:rFonts w:ascii="Times New Roman" w:hAnsi="Times New Roman" w:cs="Times New Roman"/>
          <w:b/>
          <w:sz w:val="28"/>
          <w:szCs w:val="28"/>
          <w:lang w:val="uk-UA"/>
        </w:rPr>
        <w:t xml:space="preserve">За результатами по протитуберкульозній роботі район зайняв 1 місце серед районів області   </w:t>
      </w:r>
    </w:p>
    <w:p w:rsidR="00A6088C" w:rsidRPr="00A6088C" w:rsidRDefault="00A6088C" w:rsidP="008A0140">
      <w:pPr>
        <w:spacing w:after="0"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xml:space="preserve">   -  за 2013 рік показник первинної інвалідності дорослого населення знизився на 36% і становить 27,4 проти 42,8 за  2012 рік. </w:t>
      </w:r>
      <w:r w:rsidRPr="00A6088C">
        <w:rPr>
          <w:rFonts w:ascii="Times New Roman" w:hAnsi="Times New Roman" w:cs="Times New Roman"/>
          <w:b/>
          <w:sz w:val="28"/>
          <w:szCs w:val="28"/>
          <w:lang w:val="uk-UA"/>
        </w:rPr>
        <w:t xml:space="preserve">( обл. пок. за 2013 рік - 37,0) </w:t>
      </w:r>
    </w:p>
    <w:p w:rsidR="00A6088C" w:rsidRPr="00A6088C" w:rsidRDefault="00A6088C" w:rsidP="008A0140">
      <w:pPr>
        <w:spacing w:after="0"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xml:space="preserve">  -  на 35,6% знизився  рівень первинної інвалідності осіб працездатного</w:t>
      </w:r>
    </w:p>
    <w:p w:rsidR="00A6088C" w:rsidRPr="00A6088C" w:rsidRDefault="00A6088C" w:rsidP="008A0140">
      <w:pPr>
        <w:spacing w:after="0" w:line="240" w:lineRule="auto"/>
        <w:jc w:val="both"/>
        <w:rPr>
          <w:rFonts w:ascii="Times New Roman" w:hAnsi="Times New Roman" w:cs="Times New Roman"/>
          <w:b/>
          <w:sz w:val="28"/>
          <w:szCs w:val="28"/>
          <w:lang w:val="uk-UA"/>
        </w:rPr>
      </w:pPr>
      <w:r w:rsidRPr="00A6088C">
        <w:rPr>
          <w:rFonts w:ascii="Times New Roman" w:hAnsi="Times New Roman" w:cs="Times New Roman"/>
          <w:sz w:val="28"/>
          <w:szCs w:val="28"/>
          <w:lang w:val="uk-UA"/>
        </w:rPr>
        <w:t xml:space="preserve">       віку,показник за 2013 рік 38,7 проти 46,0 за  2012 рік. </w:t>
      </w:r>
      <w:r w:rsidRPr="00A6088C">
        <w:rPr>
          <w:rFonts w:ascii="Times New Roman" w:hAnsi="Times New Roman" w:cs="Times New Roman"/>
          <w:b/>
          <w:sz w:val="28"/>
          <w:szCs w:val="28"/>
          <w:lang w:val="uk-UA"/>
        </w:rPr>
        <w:t xml:space="preserve">( обл. пок. за 2013    </w:t>
      </w:r>
    </w:p>
    <w:p w:rsidR="00A6088C" w:rsidRPr="00A6088C" w:rsidRDefault="00A6088C" w:rsidP="008A0140">
      <w:pPr>
        <w:spacing w:after="0" w:line="240" w:lineRule="auto"/>
        <w:jc w:val="both"/>
        <w:rPr>
          <w:rFonts w:ascii="Times New Roman" w:hAnsi="Times New Roman" w:cs="Times New Roman"/>
          <w:sz w:val="28"/>
          <w:szCs w:val="28"/>
          <w:lang w:val="uk-UA"/>
        </w:rPr>
      </w:pPr>
      <w:r w:rsidRPr="00A6088C">
        <w:rPr>
          <w:rFonts w:ascii="Times New Roman" w:hAnsi="Times New Roman" w:cs="Times New Roman"/>
          <w:b/>
          <w:sz w:val="28"/>
          <w:szCs w:val="28"/>
          <w:lang w:val="uk-UA"/>
        </w:rPr>
        <w:t xml:space="preserve">         рік - 45,2) </w:t>
      </w:r>
    </w:p>
    <w:p w:rsidR="00A6088C" w:rsidRPr="00A6088C" w:rsidRDefault="00A6088C" w:rsidP="008A0140">
      <w:pPr>
        <w:spacing w:after="0"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в 3 рази знизився рівень первинної інвалідності дитячого населення, показник за  2013 рік складає 10,7 проти 33,7 за 2013 рік.</w:t>
      </w:r>
      <w:r w:rsidRPr="00A6088C">
        <w:rPr>
          <w:rFonts w:ascii="Times New Roman" w:hAnsi="Times New Roman" w:cs="Times New Roman"/>
          <w:b/>
          <w:sz w:val="28"/>
          <w:szCs w:val="28"/>
          <w:lang w:val="uk-UA"/>
        </w:rPr>
        <w:t xml:space="preserve"> ( обл. пок. за 2012 рік - 19,3). За підсумками роботи район зайняв 1 місце серед районів області.</w:t>
      </w:r>
    </w:p>
    <w:p w:rsidR="00A6088C" w:rsidRPr="00A6088C" w:rsidRDefault="00A6088C" w:rsidP="00A6088C">
      <w:pPr>
        <w:pStyle w:val="a7"/>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xml:space="preserve">     </w:t>
      </w:r>
    </w:p>
    <w:p w:rsidR="00A6088C" w:rsidRPr="00A6088C" w:rsidRDefault="00A6088C" w:rsidP="008A0140">
      <w:pPr>
        <w:pStyle w:val="a7"/>
        <w:ind w:firstLine="708"/>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xml:space="preserve"> Робота  закладів охорони здоров»я в 2013році по питанню надання медичних послуг ветеранам війни  була направлена на виконання Закону України «Про статус ветеранів війни, гарантії їх соціального захисту в частині медичного обслуговування» та постанов Кабінету Міністрів України від 14.04.2004 року №477 «Про збільшення норм грошових витрат на обслуговування ветеранів війни у лікувально-профілактичних закладах». Щорічними медичними оглядами  за 2013 рік охоплено 1784 ветеранів війни (100%) .                 </w:t>
      </w:r>
    </w:p>
    <w:p w:rsidR="00A6088C" w:rsidRPr="00A8742C" w:rsidRDefault="00A6088C" w:rsidP="00A8742C">
      <w:pPr>
        <w:pStyle w:val="a7"/>
        <w:jc w:val="center"/>
        <w:rPr>
          <w:rFonts w:ascii="Times New Roman" w:hAnsi="Times New Roman" w:cs="Times New Roman"/>
          <w:b/>
          <w:sz w:val="28"/>
          <w:szCs w:val="28"/>
          <w:lang w:val="uk-UA"/>
        </w:rPr>
      </w:pPr>
      <w:r w:rsidRPr="00A8742C">
        <w:rPr>
          <w:rFonts w:ascii="Times New Roman" w:hAnsi="Times New Roman" w:cs="Times New Roman"/>
          <w:b/>
          <w:sz w:val="28"/>
          <w:szCs w:val="28"/>
          <w:lang w:val="uk-UA"/>
        </w:rPr>
        <w:t>Надання ме</w:t>
      </w:r>
      <w:r w:rsidR="00A8742C">
        <w:rPr>
          <w:rFonts w:ascii="Times New Roman" w:hAnsi="Times New Roman" w:cs="Times New Roman"/>
          <w:b/>
          <w:sz w:val="28"/>
          <w:szCs w:val="28"/>
          <w:lang w:val="uk-UA"/>
        </w:rPr>
        <w:t>дичної допомоги ветеранам війни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71"/>
        <w:gridCol w:w="1604"/>
        <w:gridCol w:w="1604"/>
        <w:gridCol w:w="2192"/>
      </w:tblGrid>
      <w:tr w:rsidR="00A6088C" w:rsidRPr="00A6088C" w:rsidTr="00A8742C">
        <w:trPr>
          <w:trHeight w:val="533"/>
        </w:trPr>
        <w:tc>
          <w:tcPr>
            <w:tcW w:w="4171" w:type="dxa"/>
          </w:tcPr>
          <w:p w:rsidR="00A8742C" w:rsidRPr="00A8742C" w:rsidRDefault="00A8742C" w:rsidP="00A8742C">
            <w:pPr>
              <w:spacing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A8742C">
              <w:rPr>
                <w:rFonts w:ascii="Times New Roman" w:hAnsi="Times New Roman" w:cs="Times New Roman"/>
                <w:b/>
                <w:sz w:val="24"/>
                <w:szCs w:val="24"/>
                <w:lang w:val="uk-UA"/>
              </w:rPr>
              <w:t xml:space="preserve">показники </w:t>
            </w:r>
          </w:p>
          <w:p w:rsidR="00A6088C" w:rsidRPr="00A8742C" w:rsidRDefault="00A6088C" w:rsidP="00A6088C">
            <w:pPr>
              <w:spacing w:line="240" w:lineRule="auto"/>
              <w:jc w:val="both"/>
              <w:rPr>
                <w:rFonts w:ascii="Times New Roman" w:hAnsi="Times New Roman" w:cs="Times New Roman"/>
                <w:b/>
                <w:sz w:val="28"/>
                <w:szCs w:val="28"/>
                <w:lang w:val="uk-UA"/>
              </w:rPr>
            </w:pPr>
          </w:p>
        </w:tc>
        <w:tc>
          <w:tcPr>
            <w:tcW w:w="1604" w:type="dxa"/>
          </w:tcPr>
          <w:p w:rsidR="00A6088C" w:rsidRPr="00A8742C" w:rsidRDefault="00A6088C" w:rsidP="00A6088C">
            <w:pPr>
              <w:spacing w:line="240" w:lineRule="auto"/>
              <w:jc w:val="both"/>
              <w:rPr>
                <w:rFonts w:ascii="Times New Roman" w:hAnsi="Times New Roman" w:cs="Times New Roman"/>
                <w:b/>
                <w:sz w:val="24"/>
                <w:szCs w:val="24"/>
                <w:lang w:val="uk-UA"/>
              </w:rPr>
            </w:pPr>
            <w:r w:rsidRPr="00A8742C">
              <w:rPr>
                <w:rFonts w:ascii="Times New Roman" w:hAnsi="Times New Roman" w:cs="Times New Roman"/>
                <w:b/>
                <w:sz w:val="24"/>
                <w:szCs w:val="24"/>
                <w:lang w:val="uk-UA"/>
              </w:rPr>
              <w:lastRenderedPageBreak/>
              <w:t xml:space="preserve">  2013 рік</w:t>
            </w:r>
          </w:p>
        </w:tc>
        <w:tc>
          <w:tcPr>
            <w:tcW w:w="1604" w:type="dxa"/>
          </w:tcPr>
          <w:p w:rsidR="00A6088C" w:rsidRPr="00A8742C" w:rsidRDefault="00A6088C" w:rsidP="00A6088C">
            <w:pPr>
              <w:spacing w:line="240" w:lineRule="auto"/>
              <w:jc w:val="both"/>
              <w:rPr>
                <w:rFonts w:ascii="Times New Roman" w:hAnsi="Times New Roman" w:cs="Times New Roman"/>
                <w:b/>
                <w:sz w:val="24"/>
                <w:szCs w:val="24"/>
                <w:lang w:val="uk-UA"/>
              </w:rPr>
            </w:pPr>
            <w:r w:rsidRPr="00A8742C">
              <w:rPr>
                <w:rFonts w:ascii="Times New Roman" w:hAnsi="Times New Roman" w:cs="Times New Roman"/>
                <w:b/>
                <w:sz w:val="24"/>
                <w:szCs w:val="24"/>
                <w:lang w:val="uk-UA"/>
              </w:rPr>
              <w:t xml:space="preserve"> 2012 рік</w:t>
            </w:r>
          </w:p>
        </w:tc>
        <w:tc>
          <w:tcPr>
            <w:tcW w:w="2192" w:type="dxa"/>
          </w:tcPr>
          <w:p w:rsidR="00A6088C" w:rsidRPr="00A8742C" w:rsidRDefault="00A6088C" w:rsidP="00A8742C">
            <w:pPr>
              <w:spacing w:line="240" w:lineRule="auto"/>
              <w:jc w:val="both"/>
              <w:rPr>
                <w:rFonts w:ascii="Times New Roman" w:hAnsi="Times New Roman" w:cs="Times New Roman"/>
                <w:b/>
                <w:sz w:val="24"/>
                <w:szCs w:val="24"/>
                <w:lang w:val="uk-UA"/>
              </w:rPr>
            </w:pPr>
            <w:r w:rsidRPr="00A8742C">
              <w:rPr>
                <w:rFonts w:ascii="Times New Roman" w:hAnsi="Times New Roman" w:cs="Times New Roman"/>
                <w:b/>
                <w:sz w:val="24"/>
                <w:szCs w:val="24"/>
                <w:lang w:val="uk-UA"/>
              </w:rPr>
              <w:t xml:space="preserve">середньообласний  </w:t>
            </w:r>
            <w:r w:rsidRPr="00A8742C">
              <w:rPr>
                <w:rFonts w:ascii="Times New Roman" w:hAnsi="Times New Roman" w:cs="Times New Roman"/>
                <w:b/>
                <w:sz w:val="24"/>
                <w:szCs w:val="24"/>
                <w:lang w:val="uk-UA"/>
              </w:rPr>
              <w:lastRenderedPageBreak/>
              <w:t>за  2013 рік</w:t>
            </w:r>
          </w:p>
        </w:tc>
      </w:tr>
      <w:tr w:rsidR="00A6088C" w:rsidRPr="00A6088C" w:rsidTr="00A8742C">
        <w:tc>
          <w:tcPr>
            <w:tcW w:w="4171"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lastRenderedPageBreak/>
              <w:t>Витрати на медикаменти</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p>
        </w:tc>
        <w:tc>
          <w:tcPr>
            <w:tcW w:w="2192" w:type="dxa"/>
          </w:tcPr>
          <w:p w:rsidR="00A6088C" w:rsidRPr="00A6088C" w:rsidRDefault="00A6088C" w:rsidP="00A6088C">
            <w:pPr>
              <w:spacing w:line="240" w:lineRule="auto"/>
              <w:jc w:val="both"/>
              <w:rPr>
                <w:rFonts w:ascii="Times New Roman" w:hAnsi="Times New Roman" w:cs="Times New Roman"/>
                <w:sz w:val="28"/>
                <w:szCs w:val="28"/>
                <w:lang w:val="uk-UA"/>
              </w:rPr>
            </w:pPr>
          </w:p>
        </w:tc>
      </w:tr>
      <w:tr w:rsidR="00A6088C" w:rsidRPr="00A6088C" w:rsidTr="00A8742C">
        <w:tc>
          <w:tcPr>
            <w:tcW w:w="4171"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За пільговими рецептами на 1 ветерана</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15,0 грн.</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11,61 грн.</w:t>
            </w:r>
          </w:p>
        </w:tc>
        <w:tc>
          <w:tcPr>
            <w:tcW w:w="2192"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26,66 грн.</w:t>
            </w:r>
          </w:p>
        </w:tc>
      </w:tr>
      <w:tr w:rsidR="00A6088C" w:rsidRPr="00A6088C" w:rsidTr="00A8742C">
        <w:tc>
          <w:tcPr>
            <w:tcW w:w="4171"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Витрати на зубопротезування на 1 ветерана</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23,21грн.</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14,70грн.</w:t>
            </w:r>
          </w:p>
        </w:tc>
        <w:tc>
          <w:tcPr>
            <w:tcW w:w="2192"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23,03 грн.</w:t>
            </w:r>
          </w:p>
        </w:tc>
      </w:tr>
      <w:tr w:rsidR="00A6088C" w:rsidRPr="00A6088C" w:rsidTr="00A8742C">
        <w:tc>
          <w:tcPr>
            <w:tcW w:w="4171"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Забезпечення зубним протезуванням  від потребуючих</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39,8%</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42,6%</w:t>
            </w:r>
          </w:p>
        </w:tc>
        <w:tc>
          <w:tcPr>
            <w:tcW w:w="2192"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46,3%</w:t>
            </w:r>
          </w:p>
        </w:tc>
      </w:tr>
      <w:tr w:rsidR="00A6088C" w:rsidRPr="00A6088C" w:rsidTr="00A8742C">
        <w:tc>
          <w:tcPr>
            <w:tcW w:w="4171"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Стаціонарно оздоровлено</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24,3%</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26,7%</w:t>
            </w:r>
          </w:p>
        </w:tc>
        <w:tc>
          <w:tcPr>
            <w:tcW w:w="2192"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56,2%</w:t>
            </w:r>
          </w:p>
        </w:tc>
      </w:tr>
      <w:tr w:rsidR="00A6088C" w:rsidRPr="00A6088C" w:rsidTr="00A8742C">
        <w:tc>
          <w:tcPr>
            <w:tcW w:w="4171"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Стаціонари вдома</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52,8%</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54,2%</w:t>
            </w:r>
          </w:p>
        </w:tc>
        <w:tc>
          <w:tcPr>
            <w:tcW w:w="2192"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57,0%</w:t>
            </w:r>
          </w:p>
        </w:tc>
      </w:tr>
      <w:tr w:rsidR="00A6088C" w:rsidRPr="00A6088C" w:rsidTr="00A8742C">
        <w:tc>
          <w:tcPr>
            <w:tcW w:w="4171"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Вартість одного ліжко/дня по харчуванню</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15,44 грн.</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14,69грн.</w:t>
            </w:r>
          </w:p>
        </w:tc>
        <w:tc>
          <w:tcPr>
            <w:tcW w:w="2192"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14,70 грн.</w:t>
            </w:r>
          </w:p>
        </w:tc>
      </w:tr>
      <w:tr w:rsidR="00A6088C" w:rsidRPr="00A6088C" w:rsidTr="00A8742C">
        <w:tc>
          <w:tcPr>
            <w:tcW w:w="4171"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Вартість одного ліжко/дня по медикаментах</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15,0 грн.</w:t>
            </w:r>
          </w:p>
        </w:tc>
        <w:tc>
          <w:tcPr>
            <w:tcW w:w="1604"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15,61 грн.</w:t>
            </w:r>
          </w:p>
        </w:tc>
        <w:tc>
          <w:tcPr>
            <w:tcW w:w="2192" w:type="dxa"/>
          </w:tcPr>
          <w:p w:rsidR="00A6088C" w:rsidRPr="00A6088C" w:rsidRDefault="00A6088C" w:rsidP="00A6088C">
            <w:pPr>
              <w:spacing w:line="240" w:lineRule="auto"/>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18,47грн.</w:t>
            </w:r>
          </w:p>
        </w:tc>
      </w:tr>
    </w:tbl>
    <w:p w:rsidR="00377E90" w:rsidRDefault="00A6088C" w:rsidP="00377E90">
      <w:pPr>
        <w:spacing w:after="0" w:line="240" w:lineRule="auto"/>
        <w:ind w:firstLine="708"/>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По  забезпеченню медичного обслуговування ветеранів війни район зайняв 2 рангове місце серед районів області.</w:t>
      </w:r>
    </w:p>
    <w:p w:rsidR="000F307C" w:rsidRPr="00377E90" w:rsidRDefault="00A6088C" w:rsidP="00377E90">
      <w:pPr>
        <w:spacing w:after="0" w:line="240" w:lineRule="auto"/>
        <w:ind w:firstLine="708"/>
        <w:jc w:val="both"/>
        <w:rPr>
          <w:rFonts w:ascii="Times New Roman" w:hAnsi="Times New Roman" w:cs="Times New Roman"/>
          <w:sz w:val="28"/>
          <w:szCs w:val="28"/>
          <w:lang w:val="uk-UA"/>
        </w:rPr>
      </w:pPr>
      <w:r w:rsidRPr="00A6088C">
        <w:rPr>
          <w:rFonts w:ascii="Times New Roman" w:hAnsi="Times New Roman" w:cs="Times New Roman"/>
          <w:sz w:val="28"/>
          <w:szCs w:val="28"/>
          <w:lang w:val="uk-UA"/>
        </w:rPr>
        <w:t xml:space="preserve"> За результатами діяльності всіх служб за 2013 рік район зайняв 2 рангове місце серед районів області.</w:t>
      </w:r>
    </w:p>
    <w:p w:rsidR="000F307C" w:rsidRDefault="002F4FD5" w:rsidP="002F4FD5">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16. Освіта</w:t>
      </w:r>
    </w:p>
    <w:p w:rsidR="00797364" w:rsidRPr="00797364" w:rsidRDefault="00797364" w:rsidP="00797364">
      <w:pPr>
        <w:spacing w:after="0" w:line="240" w:lineRule="auto"/>
        <w:ind w:firstLine="720"/>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 xml:space="preserve">Освітяни району працюють над створенням умов для рівного доступу до якісної освіти, розв’язанням проблем кадрового та матеріально-технічного забезпечення,  формуванням мережі навчальних закладів та їх контингенту. </w:t>
      </w:r>
    </w:p>
    <w:p w:rsidR="00797364" w:rsidRPr="00797364" w:rsidRDefault="00797364" w:rsidP="00797364">
      <w:pPr>
        <w:tabs>
          <w:tab w:val="left" w:pos="555"/>
        </w:tabs>
        <w:spacing w:after="0" w:line="240" w:lineRule="auto"/>
        <w:ind w:firstLine="540"/>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У 2013-2014 навчальному році функціонує 15 загальноосвітніх закладів, у яких навчається 1754 учні та 8 дошкільних навчальних закладів, в яких отримує дошкільну освіту 693 дітей, що на 1,6 % більше від попереднього року. В районі  працює два позашкільних заклади: Будинок дитячої та юнацької творчості і дитячо-юнацька спортивна школа, в яких виховується відповідно 1494 і 493 дітей. В порівнянні з  2012 роком  охоплення дітей та  учнів позашкільною освітою в гуртках Будинку дитячої та юнацької творчості збільшилося на 45%, відвідування дітьми спортивних секції дитячо-юнацької спортивної школи збільшилося на 2,3%, крім того працює міжшкільний навчально-виробничий комбінат в  якому  професійну  та  профільну  освіту  здобувають 249 учнів  10-11–х класів.</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ab/>
        <w:t xml:space="preserve">У районі створені умови для розвитку і підтримки обдарованої молоді. У минулому році ми мали 9 призових місць у ІІІ (обласному) етапі Всеукраїнських учнівських олімпіад з базових дисциплін. </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ab/>
        <w:t xml:space="preserve">У 2013 році стипендію голови обласної державної адміністрації  отримував Криштоп Сергій, учень 11 класу Вільшанської ЗОШ І-ІІІ ст., а з січня 2014 року стипендія голови обласної державної адміністрації  </w:t>
      </w:r>
      <w:r w:rsidRPr="00797364">
        <w:rPr>
          <w:rFonts w:ascii="Times New Roman" w:hAnsi="Times New Roman" w:cs="Times New Roman"/>
          <w:sz w:val="28"/>
          <w:szCs w:val="28"/>
          <w:lang w:val="uk-UA"/>
        </w:rPr>
        <w:lastRenderedPageBreak/>
        <w:t xml:space="preserve">призначена учню Вільшанської ЗОШ І-ІІІ Коваленку Євгену. 5 учнів отримують стипендію голови районної державної адміністрації. </w:t>
      </w:r>
    </w:p>
    <w:p w:rsidR="00797364" w:rsidRPr="00797364" w:rsidRDefault="00797364" w:rsidP="00797364">
      <w:pPr>
        <w:spacing w:after="0" w:line="240" w:lineRule="auto"/>
        <w:ind w:firstLine="435"/>
        <w:jc w:val="both"/>
        <w:rPr>
          <w:rFonts w:ascii="Times New Roman" w:hAnsi="Times New Roman" w:cs="Times New Roman"/>
          <w:bCs/>
          <w:sz w:val="28"/>
          <w:szCs w:val="28"/>
          <w:lang w:val="uk-UA"/>
        </w:rPr>
      </w:pPr>
      <w:r w:rsidRPr="00797364">
        <w:rPr>
          <w:rFonts w:ascii="Times New Roman" w:hAnsi="Times New Roman" w:cs="Times New Roman"/>
          <w:bCs/>
          <w:sz w:val="28"/>
          <w:szCs w:val="28"/>
          <w:lang w:val="uk-UA"/>
        </w:rPr>
        <w:t xml:space="preserve">   Чотири  вчителі  загальноосвітніх шкіл,  один тренер-викладач ДЮСШ та п’ять керівників гуртків БДЮТ отримують надбавку у розмірі 25% до посадового окладу за підготовку призерів ІІІ туру Всеукраїнських учнівських олімпіад з базових дисциплін та переможців Всеукраїнських,  Міжнародних конкурсів та спортивних змагань (Веретільник Т.Г.- вчитель  зарубіжної літератури Недригайлівської спеціалізованої школи І-ІІІ ст., Гусак Т.М.- вчитель української мови та літератури Курманівської ЗОШ І-ІІІ ст., Дяченко Л.Л.- вчитель біології Гринівського НВК ЗОШ І-ІІІ ст., ДНЗ, Кушніренко О.В. - вчитель правознавства Недригайлівської спеціалізованої школи І-ІІІ ст., Колот Л.М. - тренер-викладач ДЮСШ, </w:t>
      </w:r>
      <w:r w:rsidRPr="00797364">
        <w:rPr>
          <w:rFonts w:ascii="Times New Roman" w:hAnsi="Times New Roman" w:cs="Times New Roman"/>
          <w:bCs/>
          <w:color w:val="0000FF"/>
          <w:sz w:val="28"/>
          <w:szCs w:val="28"/>
          <w:lang w:val="uk-UA"/>
        </w:rPr>
        <w:t xml:space="preserve"> </w:t>
      </w:r>
      <w:r w:rsidRPr="00797364">
        <w:rPr>
          <w:rFonts w:ascii="Times New Roman" w:hAnsi="Times New Roman" w:cs="Times New Roman"/>
          <w:bCs/>
          <w:sz w:val="28"/>
          <w:szCs w:val="28"/>
          <w:lang w:val="uk-UA"/>
        </w:rPr>
        <w:t>керівники гуртків БДЮТ Токмань Т.А., Свириденко С.О., Павленко Л.А., Ковбаса М.А., Філатов І.М.)</w:t>
      </w:r>
    </w:p>
    <w:p w:rsidR="00797364" w:rsidRPr="00797364" w:rsidRDefault="00797364" w:rsidP="00797364">
      <w:pPr>
        <w:spacing w:after="0" w:line="240" w:lineRule="auto"/>
        <w:ind w:firstLine="435"/>
        <w:jc w:val="both"/>
        <w:rPr>
          <w:rFonts w:ascii="Times New Roman" w:hAnsi="Times New Roman" w:cs="Times New Roman"/>
          <w:bCs/>
          <w:sz w:val="28"/>
          <w:szCs w:val="28"/>
          <w:lang w:val="uk-UA"/>
        </w:rPr>
      </w:pPr>
      <w:r w:rsidRPr="00797364">
        <w:rPr>
          <w:rFonts w:ascii="Times New Roman" w:hAnsi="Times New Roman" w:cs="Times New Roman"/>
          <w:bCs/>
          <w:sz w:val="28"/>
          <w:szCs w:val="28"/>
          <w:lang w:val="uk-UA"/>
        </w:rPr>
        <w:t xml:space="preserve">  Лауреатом обласного етапу Всеукраїнського конкурсу «Керівник гуртків» стала Токмань Т.А. директор, керівник гуртків Будинку дитячої та юнацької творчості, а директор Недригайлівської спеціалізованої школи  І-ІІІ ступенів Колоусова Н.І.  стала лауреатом обласного етапу Всеукраїнського конкурсу « Учитель року -2014»  в номінації «Керівник навчального закладу»</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ab/>
        <w:t>Протягом року п</w:t>
      </w:r>
      <w:r w:rsidRPr="00797364">
        <w:rPr>
          <w:rFonts w:ascii="Times New Roman" w:hAnsi="Times New Roman" w:cs="Times New Roman"/>
          <w:sz w:val="28"/>
          <w:szCs w:val="28"/>
        </w:rPr>
        <w:t>оповню</w:t>
      </w:r>
      <w:r w:rsidRPr="00797364">
        <w:rPr>
          <w:rFonts w:ascii="Times New Roman" w:hAnsi="Times New Roman" w:cs="Times New Roman"/>
          <w:sz w:val="28"/>
          <w:szCs w:val="28"/>
          <w:lang w:val="uk-UA"/>
        </w:rPr>
        <w:t>вала</w:t>
      </w:r>
      <w:r w:rsidRPr="00797364">
        <w:rPr>
          <w:rFonts w:ascii="Times New Roman" w:hAnsi="Times New Roman" w:cs="Times New Roman"/>
          <w:sz w:val="28"/>
          <w:szCs w:val="28"/>
        </w:rPr>
        <w:t xml:space="preserve">ся матеріально-технічна та навчально-методична база закладів освіти. </w:t>
      </w:r>
      <w:r w:rsidRPr="00797364">
        <w:rPr>
          <w:rFonts w:ascii="Times New Roman" w:hAnsi="Times New Roman" w:cs="Times New Roman"/>
          <w:sz w:val="28"/>
          <w:szCs w:val="28"/>
          <w:lang w:val="uk-UA"/>
        </w:rPr>
        <w:t>За рахунок коштів обласної субвенції  придбано 30 дитячих ліжок, 66 дитячих стільчиків, 9 енергоефективних  електричних плит  для харчоблоків Гринівського і Козелянського, Хоружівського навчально-виховних комплексів та Вільшанської, Коровинської, Недригайлівської, Тернівської, Курманівської і Комишанської загальноосвітніх шкіл, сім холодильників для харчоблоків  Козелянського та Томашівського, Хоружівського навчально-виховних комплексів, Вільшанської, Коровинської, Недригайлівської та Тернівської загальноосвітніх шкіл та п’ять холодильників та медичне обладнання для медичних кабінетів опорних шкіл освітніх округів.  Придбано спортивну форму,  спортивний інвентар та електронні  посібники  для  опорних шкіл району.</w:t>
      </w:r>
    </w:p>
    <w:p w:rsidR="00797364" w:rsidRPr="00797364" w:rsidRDefault="00797364" w:rsidP="00797364">
      <w:pPr>
        <w:spacing w:after="0" w:line="240" w:lineRule="auto"/>
        <w:ind w:firstLine="720"/>
        <w:jc w:val="both"/>
        <w:rPr>
          <w:rFonts w:ascii="Times New Roman" w:hAnsi="Times New Roman" w:cs="Times New Roman"/>
          <w:sz w:val="28"/>
          <w:szCs w:val="28"/>
        </w:rPr>
      </w:pPr>
      <w:r w:rsidRPr="00797364">
        <w:rPr>
          <w:rFonts w:ascii="Times New Roman" w:hAnsi="Times New Roman" w:cs="Times New Roman"/>
          <w:sz w:val="28"/>
          <w:szCs w:val="28"/>
          <w:lang w:val="uk-UA"/>
        </w:rPr>
        <w:t>Вживаються заходи щодо забезпечення безкоштовного підвезення  учнів та вчителів. В</w:t>
      </w:r>
      <w:r w:rsidRPr="00797364">
        <w:rPr>
          <w:rFonts w:ascii="Times New Roman" w:hAnsi="Times New Roman" w:cs="Times New Roman"/>
          <w:sz w:val="28"/>
          <w:szCs w:val="28"/>
        </w:rPr>
        <w:t xml:space="preserve"> районі </w:t>
      </w:r>
      <w:r w:rsidRPr="00797364">
        <w:rPr>
          <w:rFonts w:ascii="Times New Roman" w:hAnsi="Times New Roman" w:cs="Times New Roman"/>
          <w:sz w:val="28"/>
          <w:szCs w:val="28"/>
          <w:lang w:val="uk-UA"/>
        </w:rPr>
        <w:t xml:space="preserve"> є </w:t>
      </w:r>
      <w:r w:rsidRPr="00797364">
        <w:rPr>
          <w:rFonts w:ascii="Times New Roman" w:hAnsi="Times New Roman" w:cs="Times New Roman"/>
          <w:sz w:val="28"/>
          <w:szCs w:val="28"/>
        </w:rPr>
        <w:t xml:space="preserve">12 шкільних автобусів. Безкоштовним </w:t>
      </w:r>
      <w:proofErr w:type="gramStart"/>
      <w:r w:rsidRPr="00797364">
        <w:rPr>
          <w:rFonts w:ascii="Times New Roman" w:hAnsi="Times New Roman" w:cs="Times New Roman"/>
          <w:sz w:val="28"/>
          <w:szCs w:val="28"/>
        </w:rPr>
        <w:t>п</w:t>
      </w:r>
      <w:proofErr w:type="gramEnd"/>
      <w:r w:rsidRPr="00797364">
        <w:rPr>
          <w:rFonts w:ascii="Times New Roman" w:hAnsi="Times New Roman" w:cs="Times New Roman"/>
          <w:sz w:val="28"/>
          <w:szCs w:val="28"/>
        </w:rPr>
        <w:t>ідв</w:t>
      </w:r>
      <w:r w:rsidRPr="00797364">
        <w:rPr>
          <w:rFonts w:ascii="Times New Roman" w:hAnsi="Times New Roman" w:cs="Times New Roman"/>
          <w:sz w:val="28"/>
          <w:szCs w:val="28"/>
          <w:lang w:val="uk-UA"/>
        </w:rPr>
        <w:t>е</w:t>
      </w:r>
      <w:r w:rsidRPr="00797364">
        <w:rPr>
          <w:rFonts w:ascii="Times New Roman" w:hAnsi="Times New Roman" w:cs="Times New Roman"/>
          <w:sz w:val="28"/>
          <w:szCs w:val="28"/>
        </w:rPr>
        <w:t>з</w:t>
      </w:r>
      <w:r w:rsidRPr="00797364">
        <w:rPr>
          <w:rFonts w:ascii="Times New Roman" w:hAnsi="Times New Roman" w:cs="Times New Roman"/>
          <w:sz w:val="28"/>
          <w:szCs w:val="28"/>
          <w:lang w:val="uk-UA"/>
        </w:rPr>
        <w:t>ення</w:t>
      </w:r>
      <w:r w:rsidRPr="00797364">
        <w:rPr>
          <w:rFonts w:ascii="Times New Roman" w:hAnsi="Times New Roman" w:cs="Times New Roman"/>
          <w:sz w:val="28"/>
          <w:szCs w:val="28"/>
        </w:rPr>
        <w:t>м охоплено 3</w:t>
      </w:r>
      <w:r w:rsidRPr="00797364">
        <w:rPr>
          <w:rFonts w:ascii="Times New Roman" w:hAnsi="Times New Roman" w:cs="Times New Roman"/>
          <w:sz w:val="28"/>
          <w:szCs w:val="28"/>
          <w:lang w:val="uk-UA"/>
        </w:rPr>
        <w:t>98</w:t>
      </w:r>
      <w:r w:rsidRPr="00797364">
        <w:rPr>
          <w:rFonts w:ascii="Times New Roman" w:hAnsi="Times New Roman" w:cs="Times New Roman"/>
          <w:sz w:val="28"/>
          <w:szCs w:val="28"/>
        </w:rPr>
        <w:t xml:space="preserve"> учнів ( </w:t>
      </w:r>
      <w:r w:rsidRPr="00797364">
        <w:rPr>
          <w:rFonts w:ascii="Times New Roman" w:hAnsi="Times New Roman" w:cs="Times New Roman"/>
          <w:sz w:val="28"/>
          <w:szCs w:val="28"/>
          <w:lang w:val="uk-UA"/>
        </w:rPr>
        <w:t>100</w:t>
      </w:r>
      <w:r w:rsidRPr="00797364">
        <w:rPr>
          <w:rFonts w:ascii="Times New Roman" w:hAnsi="Times New Roman" w:cs="Times New Roman"/>
          <w:sz w:val="28"/>
          <w:szCs w:val="28"/>
        </w:rPr>
        <w:t>%).</w:t>
      </w:r>
    </w:p>
    <w:p w:rsidR="00797364" w:rsidRPr="00797364" w:rsidRDefault="00797364" w:rsidP="00797364">
      <w:pPr>
        <w:pStyle w:val="ab"/>
        <w:spacing w:after="0" w:line="240" w:lineRule="auto"/>
        <w:ind w:left="0" w:firstLine="708"/>
        <w:jc w:val="both"/>
        <w:rPr>
          <w:rFonts w:ascii="Times New Roman" w:hAnsi="Times New Roman" w:cs="Times New Roman"/>
          <w:sz w:val="28"/>
          <w:szCs w:val="28"/>
        </w:rPr>
      </w:pPr>
      <w:r w:rsidRPr="00797364">
        <w:rPr>
          <w:rFonts w:ascii="Times New Roman" w:hAnsi="Times New Roman" w:cs="Times New Roman"/>
          <w:sz w:val="28"/>
          <w:szCs w:val="28"/>
        </w:rPr>
        <w:t>В навчальних закладах запроваджуються енергозберігаючі технології.</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b/>
          <w:color w:val="0000FF"/>
          <w:sz w:val="28"/>
          <w:szCs w:val="28"/>
          <w:lang w:val="uk-UA"/>
        </w:rPr>
        <w:tab/>
      </w:r>
      <w:r w:rsidRPr="00797364">
        <w:rPr>
          <w:rFonts w:ascii="Times New Roman" w:hAnsi="Times New Roman" w:cs="Times New Roman"/>
          <w:sz w:val="28"/>
          <w:szCs w:val="28"/>
          <w:lang w:val="uk-UA"/>
        </w:rPr>
        <w:t>Придбано 2 електродвигуни для котельні Недригайлівської  спеціалізованої загальноосвітніьої школи І-ІІІ ступенів.</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b/>
          <w:color w:val="0000FF"/>
          <w:sz w:val="28"/>
          <w:szCs w:val="28"/>
          <w:lang w:val="uk-UA"/>
        </w:rPr>
        <w:tab/>
      </w:r>
      <w:r w:rsidRPr="00797364">
        <w:rPr>
          <w:rFonts w:ascii="Times New Roman" w:hAnsi="Times New Roman" w:cs="Times New Roman"/>
          <w:sz w:val="28"/>
          <w:szCs w:val="28"/>
          <w:lang w:val="uk-UA"/>
        </w:rPr>
        <w:t>Проведено заміну вікон і дверей у Гринівському НВК:ЗОШ І-ІІІ ступенів, ДНЗ,  Вільшанському, Засульському, Курманівському ДНЗ.</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ab/>
        <w:t xml:space="preserve">Придбані сучасні шкільні меблі:  книжкові шафи, парти, стільці, столи у Вільшанській, Тернівській загальноосвітній школі І-ІІІ ступенів, Недригайлівській спеціалізованій загальноосвітній школі І-ІІІ ступенів, а також дитячі меблі для Засульського, Коровинського, Недригайлівського дошкільного навчального закладу. Проведено заміну огорожі у Коровинському, Іваницькому дошкільних закладах. У Коровинському  </w:t>
      </w:r>
      <w:r w:rsidRPr="00797364">
        <w:rPr>
          <w:rFonts w:ascii="Times New Roman" w:hAnsi="Times New Roman" w:cs="Times New Roman"/>
          <w:sz w:val="28"/>
          <w:szCs w:val="28"/>
          <w:lang w:val="uk-UA"/>
        </w:rPr>
        <w:lastRenderedPageBreak/>
        <w:t xml:space="preserve">дошкільному садочку  збудована два  літніх ігрових павільйони. Протягом  року вживалися заходи  по ремонту шкільних автобусів було  замінено  шини  шкільного автобуса Вільшанської, Комишанської, Недригайлівської шкіл та Хоружівського навчально-виховного комплексу. </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ab/>
        <w:t>Загальноосвітні школи забезпечені сучасною комп’ютерною  технікою та доступом до Інтернету.</w:t>
      </w:r>
      <w:r w:rsidRPr="00797364">
        <w:rPr>
          <w:rFonts w:ascii="Times New Roman" w:hAnsi="Times New Roman" w:cs="Times New Roman"/>
          <w:sz w:val="28"/>
          <w:szCs w:val="28"/>
          <w:lang w:val="uk-UA"/>
        </w:rPr>
        <w:tab/>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ab/>
        <w:t xml:space="preserve"> У Вільшанській, Коровинській, Недригайлівській, Тернівській, Курманівській та Комишанській загальноосвітніх школах,   Томашівському, Гринівському  навчально-виховних комплексах  наявні мультимедійні системи.</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ab/>
        <w:t>Проведені  роботи по облаштуванню внутрішньої туалетної кімнати в Іваницькі загальноосвітній школі,  встановлені біотуалети  у Комишанській та Курманівській загальноосвітніх школах.  Здійснено   заміну  водопроводу в туалетних кімнатах Недригайлівської спеціалізованої школи. Завершені  роботи по утепленню фасаду та даху, заміні вікон, дверей у Недригайлівському та Тернівському  ДНЗ.</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ab/>
        <w:t xml:space="preserve">Завершені роботи по облаштуванню спортивного майданчика із штучним покриттям Коровинської ЗОШ І-ІІІ ступенів. Виготовлена проектна документація на будівництво майданчиків із штучним покриттям у Вільшанській та Тернівській загальноосвітніх школах.  </w:t>
      </w:r>
    </w:p>
    <w:p w:rsidR="00797364" w:rsidRPr="00797364" w:rsidRDefault="00797364" w:rsidP="00797364">
      <w:p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 xml:space="preserve">         Залишаються не вирішеними питання:</w:t>
      </w:r>
    </w:p>
    <w:p w:rsidR="00797364" w:rsidRPr="00797364" w:rsidRDefault="00797364" w:rsidP="00797364">
      <w:pPr>
        <w:numPr>
          <w:ilvl w:val="0"/>
          <w:numId w:val="5"/>
        </w:num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капітальний ремонт м’якої покрівлі даху Недригайлівської спеціалізованої школи;</w:t>
      </w:r>
    </w:p>
    <w:p w:rsidR="00797364" w:rsidRPr="00797364" w:rsidRDefault="00797364" w:rsidP="00797364">
      <w:pPr>
        <w:numPr>
          <w:ilvl w:val="0"/>
          <w:numId w:val="5"/>
        </w:num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 xml:space="preserve"> заміна шкільного автобуса Тернівської школи;</w:t>
      </w:r>
    </w:p>
    <w:p w:rsidR="00797364" w:rsidRPr="00797364" w:rsidRDefault="00797364" w:rsidP="00797364">
      <w:pPr>
        <w:numPr>
          <w:ilvl w:val="0"/>
          <w:numId w:val="5"/>
        </w:num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 xml:space="preserve"> відновлення приміщення дошкільної групи Гринівського навчально-виховного комплексу, що постраждав в наслідок пожежі 13 лютого 2014 року;</w:t>
      </w:r>
    </w:p>
    <w:p w:rsidR="00797364" w:rsidRPr="00797364" w:rsidRDefault="00797364" w:rsidP="00797364">
      <w:pPr>
        <w:numPr>
          <w:ilvl w:val="0"/>
          <w:numId w:val="5"/>
        </w:num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реконструкція єдиного вузла обліку газу у Коровинській загальноосвітній школі, Хоружівському та Червонослобідському  навчально-виховному комплексі, Будинку дитячої та юнацької творчості;</w:t>
      </w:r>
    </w:p>
    <w:p w:rsidR="00797364" w:rsidRPr="00797364" w:rsidRDefault="00797364" w:rsidP="00797364">
      <w:pPr>
        <w:numPr>
          <w:ilvl w:val="0"/>
          <w:numId w:val="5"/>
        </w:numPr>
        <w:spacing w:after="0" w:line="240" w:lineRule="auto"/>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будівництво  майданчиків із штучним покриттям  у Вільшанській та Тернівській загальноосвітніх школах.</w:t>
      </w:r>
    </w:p>
    <w:p w:rsidR="00797364" w:rsidRPr="00797364" w:rsidRDefault="00797364" w:rsidP="00797364">
      <w:pPr>
        <w:spacing w:after="0" w:line="240" w:lineRule="auto"/>
        <w:ind w:left="360"/>
        <w:jc w:val="both"/>
        <w:rPr>
          <w:rFonts w:ascii="Times New Roman" w:hAnsi="Times New Roman" w:cs="Times New Roman"/>
          <w:sz w:val="28"/>
          <w:szCs w:val="28"/>
          <w:lang w:val="uk-UA"/>
        </w:rPr>
      </w:pPr>
      <w:r w:rsidRPr="00797364">
        <w:rPr>
          <w:rFonts w:ascii="Times New Roman" w:hAnsi="Times New Roman" w:cs="Times New Roman"/>
          <w:sz w:val="28"/>
          <w:szCs w:val="28"/>
          <w:lang w:val="uk-UA"/>
        </w:rPr>
        <w:t>Основні  завдання галузі «Освіта» на 2014 рік - забезпечення дошкільною та позашкільною освітою не менше 85 % дитячого населення району,  стовідсоткове охоплення  навчанням учнів шкільного віку; відновлення приміщення дошкільної групи Гринівського навчально-виховного комплексу загальноосвітня школа, дошкільний навчальний заклад; забезпечення  безперебійного підвезення  учнів та  вчителів до школи і в зворотному напрямку; створення необхідних умов для навчання і виховання дітей у навчально-виховних закладах району.</w:t>
      </w:r>
    </w:p>
    <w:p w:rsidR="00797364" w:rsidRDefault="00797364" w:rsidP="00797364">
      <w:pPr>
        <w:spacing w:after="0" w:line="240" w:lineRule="auto"/>
        <w:jc w:val="center"/>
        <w:rPr>
          <w:rFonts w:ascii="Times New Roman" w:hAnsi="Times New Roman" w:cs="Times New Roman"/>
          <w:b/>
          <w:sz w:val="28"/>
          <w:szCs w:val="28"/>
          <w:lang w:val="uk-UA"/>
        </w:rPr>
      </w:pPr>
    </w:p>
    <w:p w:rsidR="002F4FD5" w:rsidRDefault="002F4FD5" w:rsidP="002F4FD5">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17. Культура </w:t>
      </w:r>
    </w:p>
    <w:p w:rsidR="0074074F" w:rsidRPr="0074074F" w:rsidRDefault="0074074F" w:rsidP="0074074F">
      <w:pPr>
        <w:spacing w:after="0" w:line="240" w:lineRule="auto"/>
        <w:ind w:firstLine="708"/>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lang w:val="uk-UA"/>
        </w:rPr>
        <w:t xml:space="preserve">Сфера культури Недригайлівщини є складовою загальнодержавної системи культури та включає культурно-освітні установи (клуби, бібліотеки, </w:t>
      </w:r>
      <w:r w:rsidRPr="0074074F">
        <w:rPr>
          <w:rFonts w:ascii="Times New Roman" w:eastAsia="Times New Roman" w:hAnsi="Times New Roman" w:cs="Times New Roman"/>
          <w:sz w:val="28"/>
          <w:lang w:val="uk-UA"/>
        </w:rPr>
        <w:lastRenderedPageBreak/>
        <w:t xml:space="preserve">дитячі музичні школи), які розташовані у межах адміністративно-територіальної частини Недригайлівського району.  </w:t>
      </w:r>
    </w:p>
    <w:p w:rsidR="0074074F" w:rsidRPr="0074074F" w:rsidRDefault="0074074F" w:rsidP="0074074F">
      <w:pPr>
        <w:spacing w:after="0" w:line="240" w:lineRule="auto"/>
        <w:ind w:firstLine="708"/>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lang w:val="uk-UA"/>
        </w:rPr>
        <w:t xml:space="preserve"> Розвиток галузі культури у Недригайлівському районі спрямований на підвищення якості надання відповідних послуг та формування єдиного соціокультурного простору шляхом зміцнення матеріально-технічної бази закладів культури, забезпечення підготовки відповідних кадрів, розробки та запровадження нових економічних та управлінських механізмів розвитку.                            </w:t>
      </w:r>
    </w:p>
    <w:p w:rsidR="0074074F" w:rsidRPr="0074074F" w:rsidRDefault="0074074F" w:rsidP="0074074F">
      <w:pPr>
        <w:spacing w:after="0" w:line="240" w:lineRule="auto"/>
        <w:ind w:firstLine="708"/>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lang w:val="uk-UA"/>
        </w:rPr>
        <w:t xml:space="preserve">Мережею закладів культури в районі охоплено майже всі населені пункти – це 34 клубних заклади, 25 бібліотек, 2 початкових мистецьких навчальних заклади. У порівнянні з 2012 роком спостерігається тенденція збільшення кількості закладів культури на селі, що в свою чергу позначиться на якості у задоволенні потреб населення культурними послугами. Загальна кількість закладів культури району у 2012 році становила 59, у 2013  – 61заклад.  </w:t>
      </w:r>
    </w:p>
    <w:p w:rsidR="0074074F" w:rsidRPr="0074074F" w:rsidRDefault="0074074F" w:rsidP="0074074F">
      <w:pPr>
        <w:spacing w:after="0" w:line="240" w:lineRule="auto"/>
        <w:ind w:firstLine="708"/>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lang w:val="uk-UA"/>
        </w:rPr>
        <w:t>Кількість працівників у закладах культури у 2012 становила 173 чол., у 2013 – 182 чол. Кадрове забезпечення галузі в цілому становить 95% від потреби. Слід відмітити, що змінився і якісний склад працівників галузі за рахунок введення нових спеціальностей: режисер, організатор культурно-дозвіллєвої діяльності, розпорядник танцювального вечора. У 2013 році прийняті 5 молодих спеціалістів з вищою та спеціальною освітою.</w:t>
      </w:r>
    </w:p>
    <w:p w:rsidR="0074074F" w:rsidRPr="0074074F" w:rsidRDefault="0074074F" w:rsidP="0074074F">
      <w:pPr>
        <w:spacing w:after="0" w:line="240" w:lineRule="auto"/>
        <w:ind w:firstLine="708"/>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lang w:val="uk-UA"/>
        </w:rPr>
        <w:t>Одним із пріоритетних напрямків  розвитку культури є організація змістовного дозвілля населення.</w:t>
      </w:r>
      <w:r w:rsidRPr="0074074F">
        <w:rPr>
          <w:rFonts w:ascii="Times New Roman" w:eastAsia="Times New Roman" w:hAnsi="Times New Roman" w:cs="Times New Roman"/>
          <w:sz w:val="28"/>
          <w:szCs w:val="28"/>
          <w:lang w:val="uk-UA"/>
        </w:rPr>
        <w:t xml:space="preserve"> 11 аматорських колективів району мають звання «народний». З них 5 колективів переведені на фінансування сільських рад. Крім того, створені нові колективи художньої самодіяльності, які вже показали свою майстерність на районних та обласних заходах. Це говорить про те, що центральні садиби Недригайлівського району охоплені культурно-дозвіллєвою діяльністю в повному обсязі.</w:t>
      </w:r>
    </w:p>
    <w:p w:rsidR="0074074F" w:rsidRPr="0074074F" w:rsidRDefault="0074074F" w:rsidP="0074074F">
      <w:pPr>
        <w:spacing w:after="0" w:line="240" w:lineRule="auto"/>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t xml:space="preserve">           </w:t>
      </w:r>
      <w:r w:rsidRPr="0074074F">
        <w:rPr>
          <w:rFonts w:ascii="Times New Roman" w:eastAsia="Times New Roman" w:hAnsi="Times New Roman" w:cs="Times New Roman"/>
          <w:sz w:val="28"/>
          <w:lang w:val="uk-UA"/>
        </w:rPr>
        <w:t>Позашкільна освіта – одна з ланок галузі, яка забезпечує культурно-освітні потреби дітей, сприяє створенню додаткових умов для творчого та духовного розвитку. У Недригайлівському районі діють 2 школи естетичного виховання: Недригайлівська дитяча музична школа та Тернівська дитяча школа мистецтв, в яких навчається 270 учнів. Навчальний процес забезпечують 15 викладачів.</w:t>
      </w:r>
      <w:r w:rsidRPr="0074074F">
        <w:rPr>
          <w:rFonts w:ascii="Times New Roman" w:eastAsia="Times New Roman" w:hAnsi="Times New Roman" w:cs="Times New Roman"/>
          <w:sz w:val="28"/>
          <w:szCs w:val="28"/>
          <w:lang w:val="uk-UA"/>
        </w:rPr>
        <w:t xml:space="preserve"> Середня батьківська плата становить 45 грн. За період 2012-2013 років 10 випускників шкіл естетичного виховання Недригайлівського району продовжили навчання у вищих мистецьких закладах.</w:t>
      </w:r>
    </w:p>
    <w:p w:rsidR="0074074F" w:rsidRPr="0074074F" w:rsidRDefault="0074074F" w:rsidP="0074074F">
      <w:pPr>
        <w:spacing w:after="0" w:line="240" w:lineRule="auto"/>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lang w:val="uk-UA"/>
        </w:rPr>
        <w:t xml:space="preserve">          Вагомий внесок у культурне, політичне, і громадське життя</w:t>
      </w:r>
    </w:p>
    <w:p w:rsidR="0074074F" w:rsidRPr="0074074F" w:rsidRDefault="0074074F" w:rsidP="0074074F">
      <w:pPr>
        <w:spacing w:after="0" w:line="240" w:lineRule="auto"/>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lang w:val="uk-UA"/>
        </w:rPr>
        <w:t>Недригайлівщини здійснюють бібліотеки. Створення оптимальних умов для реалізації бібліотеками своїх соціальних функцій та підвищення їх ролі як центрів культури, науки, освіти та інформації здійснюється шляхом забезпечення повноцінного комплектування та збереження бібліотечних фондів, впровадження в діяльність бібліотек сучасних інформаційних технологій. Центральні бібліотеки району забезпечені комп’</w:t>
      </w:r>
      <w:r w:rsidRPr="0074074F">
        <w:rPr>
          <w:rFonts w:ascii="Times New Roman" w:eastAsia="Times New Roman" w:hAnsi="Times New Roman" w:cs="Times New Roman"/>
          <w:sz w:val="28"/>
        </w:rPr>
        <w:t xml:space="preserve">ютерами та під’єднані до мережі Інтернет. </w:t>
      </w:r>
      <w:r w:rsidRPr="0074074F">
        <w:rPr>
          <w:rFonts w:ascii="Times New Roman" w:eastAsia="Times New Roman" w:hAnsi="Times New Roman" w:cs="Times New Roman"/>
          <w:sz w:val="28"/>
          <w:lang w:val="uk-UA"/>
        </w:rPr>
        <w:t xml:space="preserve"> </w:t>
      </w:r>
      <w:r w:rsidRPr="0074074F">
        <w:rPr>
          <w:rFonts w:ascii="Times New Roman" w:eastAsia="Times New Roman" w:hAnsi="Times New Roman" w:cs="Times New Roman"/>
          <w:sz w:val="28"/>
          <w:szCs w:val="28"/>
          <w:lang w:val="uk-UA"/>
        </w:rPr>
        <w:t xml:space="preserve">         </w:t>
      </w:r>
    </w:p>
    <w:p w:rsidR="0074074F" w:rsidRPr="0074074F" w:rsidRDefault="0074074F" w:rsidP="0074074F">
      <w:pPr>
        <w:spacing w:after="0" w:line="240" w:lineRule="auto"/>
        <w:ind w:firstLine="708"/>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lastRenderedPageBreak/>
        <w:t xml:space="preserve">Важливим внутрішнім чинником розвитку галузі є </w:t>
      </w:r>
      <w:r w:rsidRPr="0074074F">
        <w:rPr>
          <w:rFonts w:ascii="Times New Roman" w:eastAsia="Times New Roman" w:hAnsi="Times New Roman" w:cs="Times New Roman"/>
          <w:sz w:val="28"/>
          <w:lang w:val="uk-UA"/>
        </w:rPr>
        <w:t>зміцнення матеріально-технічної бази закладів культури.</w:t>
      </w:r>
      <w:r w:rsidRPr="0074074F">
        <w:rPr>
          <w:rFonts w:ascii="Times New Roman" w:eastAsia="Times New Roman" w:hAnsi="Times New Roman" w:cs="Times New Roman"/>
          <w:sz w:val="28"/>
          <w:szCs w:val="28"/>
          <w:lang w:val="uk-UA"/>
        </w:rPr>
        <w:t xml:space="preserve"> У 2013 році:</w:t>
      </w:r>
    </w:p>
    <w:p w:rsidR="0074074F" w:rsidRPr="0074074F" w:rsidRDefault="0074074F" w:rsidP="0074074F">
      <w:pPr>
        <w:tabs>
          <w:tab w:val="left" w:pos="720"/>
          <w:tab w:val="left" w:pos="6015"/>
        </w:tabs>
        <w:spacing w:after="0" w:line="240" w:lineRule="auto"/>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t>- відкрито 2 сільських клуби;</w:t>
      </w:r>
    </w:p>
    <w:p w:rsidR="0074074F" w:rsidRPr="0074074F" w:rsidRDefault="0074074F" w:rsidP="0074074F">
      <w:pPr>
        <w:tabs>
          <w:tab w:val="left" w:pos="720"/>
          <w:tab w:val="left" w:pos="6015"/>
        </w:tabs>
        <w:spacing w:after="0" w:line="240" w:lineRule="auto"/>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t>- проведені ремонти закладів культури на загальну суму 666,6 тис.грн.;</w:t>
      </w:r>
    </w:p>
    <w:p w:rsidR="0074074F" w:rsidRPr="0074074F" w:rsidRDefault="0074074F" w:rsidP="0074074F">
      <w:pPr>
        <w:tabs>
          <w:tab w:val="left" w:pos="720"/>
          <w:tab w:val="left" w:pos="6015"/>
        </w:tabs>
        <w:spacing w:after="0" w:line="240" w:lineRule="auto"/>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t xml:space="preserve">-з них проведений капітальний ремонт Коровинського сільського будинку    культури та бібліотеки-філії на суму 357,7 тис.грн.; </w:t>
      </w:r>
    </w:p>
    <w:p w:rsidR="0074074F" w:rsidRPr="0074074F" w:rsidRDefault="0074074F" w:rsidP="0074074F">
      <w:pPr>
        <w:tabs>
          <w:tab w:val="left" w:pos="720"/>
          <w:tab w:val="left" w:pos="6015"/>
        </w:tabs>
        <w:spacing w:after="0" w:line="240" w:lineRule="auto"/>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t>- поповнення матеріально-технічної бази закладів культури здійснено на суму 310,2 тис.грн.;</w:t>
      </w:r>
    </w:p>
    <w:p w:rsidR="0074074F" w:rsidRPr="0074074F" w:rsidRDefault="0074074F" w:rsidP="0074074F">
      <w:pPr>
        <w:tabs>
          <w:tab w:val="left" w:pos="720"/>
          <w:tab w:val="left" w:pos="6015"/>
        </w:tabs>
        <w:spacing w:after="0" w:line="240" w:lineRule="auto"/>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t xml:space="preserve">- встановлено опалювальні котли у 7 закладах. </w:t>
      </w:r>
    </w:p>
    <w:p w:rsidR="0074074F" w:rsidRPr="0074074F" w:rsidRDefault="0074074F" w:rsidP="0074074F">
      <w:pPr>
        <w:tabs>
          <w:tab w:val="left" w:pos="720"/>
          <w:tab w:val="left" w:pos="6015"/>
        </w:tabs>
        <w:spacing w:after="0" w:line="240" w:lineRule="auto"/>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szCs w:val="28"/>
          <w:lang w:val="uk-UA"/>
        </w:rPr>
        <w:t xml:space="preserve">Всього опалюються </w:t>
      </w:r>
      <w:r w:rsidRPr="0074074F">
        <w:rPr>
          <w:rFonts w:ascii="Times New Roman" w:eastAsia="Times New Roman" w:hAnsi="Times New Roman" w:cs="Times New Roman"/>
          <w:color w:val="000000"/>
          <w:sz w:val="28"/>
          <w:szCs w:val="28"/>
          <w:lang w:val="uk-UA"/>
        </w:rPr>
        <w:t>44</w:t>
      </w:r>
      <w:r w:rsidRPr="0074074F">
        <w:rPr>
          <w:rFonts w:ascii="Times New Roman" w:eastAsia="Times New Roman" w:hAnsi="Times New Roman" w:cs="Times New Roman"/>
          <w:sz w:val="28"/>
          <w:szCs w:val="28"/>
          <w:lang w:val="uk-UA"/>
        </w:rPr>
        <w:t xml:space="preserve"> приміщення із 60.</w:t>
      </w:r>
    </w:p>
    <w:p w:rsidR="00FD038F" w:rsidRDefault="0074074F" w:rsidP="00377E90">
      <w:pPr>
        <w:tabs>
          <w:tab w:val="left" w:pos="720"/>
          <w:tab w:val="left" w:pos="6015"/>
        </w:tabs>
        <w:spacing w:after="0" w:line="240" w:lineRule="auto"/>
        <w:jc w:val="both"/>
        <w:rPr>
          <w:rFonts w:ascii="Times New Roman" w:hAnsi="Times New Roman" w:cs="Times New Roman"/>
          <w:sz w:val="28"/>
          <w:szCs w:val="28"/>
          <w:lang w:val="uk-UA"/>
        </w:rPr>
      </w:pPr>
      <w:r w:rsidRPr="0074074F">
        <w:rPr>
          <w:rFonts w:ascii="Times New Roman" w:eastAsia="Times New Roman" w:hAnsi="Times New Roman" w:cs="Times New Roman"/>
          <w:sz w:val="28"/>
          <w:szCs w:val="28"/>
          <w:lang w:val="uk-UA"/>
        </w:rPr>
        <w:t xml:space="preserve">          Вагомим зовнішнім чинником розвитку культури у Недригайлівському районі є тісна співпраця з громадськими організаціями. Зокрема, ініціаторами, меценатами та учасниками фестивалів та свят у районі є Недригайлівське земляцтво у Києві Харкові, Сумах, Полтаві. Щороку районне свято Купала збирає славну когорту таких людей, які роблять свій внесок у розвиток культури і мистецтва району.   В рамках районного свята Купала у 2013 році проведений регіональний фестиваль хорових колективів «Пісенне Посулля»,  в якому взяли участь хорові колективи з Лубен, Лохвиці, с. Річки Білопільського району та хоровий колектив Недригайлівського РБК.  </w:t>
      </w:r>
    </w:p>
    <w:p w:rsidR="0074074F" w:rsidRPr="0074074F" w:rsidRDefault="0074074F" w:rsidP="00FD038F">
      <w:pPr>
        <w:tabs>
          <w:tab w:val="left" w:pos="540"/>
        </w:tabs>
        <w:spacing w:after="0" w:line="240" w:lineRule="auto"/>
        <w:ind w:firstLine="851"/>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t>З</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метою</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популяризації</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кращих</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творів</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сучасного</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українського</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образотворчого</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мистецтва, підтримки талантів Недригайлівщини</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та</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увічнення</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пам’яті</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видатного</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художника-земляка  Нестора Митрофановича Кизенка   засновано</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районну</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митецьку</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премію</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імені</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Нестора</w:t>
      </w:r>
      <w:r w:rsidRPr="0074074F">
        <w:rPr>
          <w:rFonts w:ascii="Times New Roman" w:eastAsia="Times New Roman" w:hAnsi="Times New Roman" w:cs="Times New Roman"/>
          <w:sz w:val="28"/>
          <w:szCs w:val="28"/>
        </w:rPr>
        <w:t> </w:t>
      </w:r>
      <w:r w:rsidRPr="0074074F">
        <w:rPr>
          <w:rFonts w:ascii="Times New Roman" w:eastAsia="Times New Roman" w:hAnsi="Times New Roman" w:cs="Times New Roman"/>
          <w:sz w:val="28"/>
          <w:szCs w:val="28"/>
          <w:lang w:val="uk-UA"/>
        </w:rPr>
        <w:t xml:space="preserve"> Кизенка. У 2013 році у конкурсі взяли участь 30 учасників – художників, майстрів народного мистецтва, учнів. Твори переможців подаровані Недригайлівському краєзнавчому музею – ще один важливий вклад у розвиток мистецтва Недригайлівського району.</w:t>
      </w:r>
    </w:p>
    <w:p w:rsidR="0074074F" w:rsidRPr="0074074F" w:rsidRDefault="0074074F" w:rsidP="0074074F">
      <w:pPr>
        <w:shd w:val="clear" w:color="auto" w:fill="FFFFFF"/>
        <w:spacing w:after="0" w:line="240" w:lineRule="auto"/>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lang w:val="uk-UA"/>
        </w:rPr>
        <w:t xml:space="preserve">         </w:t>
      </w:r>
      <w:r w:rsidRPr="0074074F">
        <w:rPr>
          <w:rFonts w:ascii="Times New Roman" w:eastAsia="Times New Roman" w:hAnsi="Times New Roman" w:cs="Times New Roman"/>
          <w:sz w:val="28"/>
          <w:szCs w:val="28"/>
          <w:lang w:val="uk-UA"/>
        </w:rPr>
        <w:t>11 років поспіль у Тернах проводиться обласний фестиваль сільських шкільних хорових колективів «Співаймо разом»,  засновником і головою журі якого є наш земляк, народний артист України, лауреат Державної премії імені Т.Г.Шевченка А.Ю.Мокренко. У 2013 році у фестивалі взяли участь 18 хорових колективів – понад 500 учасників.</w:t>
      </w:r>
    </w:p>
    <w:p w:rsidR="0074074F" w:rsidRPr="0074074F" w:rsidRDefault="0074074F" w:rsidP="0074074F">
      <w:pPr>
        <w:spacing w:after="0" w:line="240" w:lineRule="auto"/>
        <w:ind w:firstLine="708"/>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lang w:val="uk-UA"/>
        </w:rPr>
        <w:t>Необхідність змін галузі культури зумовлена змінами у суспільстві. Через фінансово-економічну нестабільність, нерівномірність бюджетних витрат, соціальну розмежованість у суспільстві недостатньо забезпечені культурні потреби жителів.</w:t>
      </w:r>
    </w:p>
    <w:p w:rsidR="0074074F" w:rsidRPr="0074074F" w:rsidRDefault="0074074F" w:rsidP="0074074F">
      <w:pPr>
        <w:spacing w:after="0" w:line="240" w:lineRule="auto"/>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t xml:space="preserve">          Всього на відділ культури, туризму, національностей і релігій 2013 році виділено 3234,4 тис. грн, в тому числі на заробітну плату 3021,4 тис. грн., що становить 93,4 % до кошторисних призначень. На оплату енергоносіїв виділено 176,2 тис. грн, що становить 5,4 %. Заборгованість по заробітній платі та енергоносіях відсутня. По інших статтях видатків заборгованість за 2013 рік становить 35,0 тис. грн.   </w:t>
      </w:r>
    </w:p>
    <w:p w:rsidR="0074074F" w:rsidRPr="0074074F" w:rsidRDefault="0074074F" w:rsidP="0074074F">
      <w:pPr>
        <w:spacing w:after="0" w:line="240" w:lineRule="auto"/>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lastRenderedPageBreak/>
        <w:t xml:space="preserve">          Відділ культури, туризму, національностей і релігій працює над Програмою розвитку туризму в Недригайлівському районі на 2011 – 2015 роки. Фінансування Програми у 2013 році здійснювалося в межах кошторису, додаткові кошти під програму не виділялися.</w:t>
      </w:r>
    </w:p>
    <w:p w:rsidR="0074074F" w:rsidRPr="0074074F" w:rsidRDefault="0074074F" w:rsidP="0074074F">
      <w:pPr>
        <w:spacing w:after="0" w:line="240" w:lineRule="auto"/>
        <w:rPr>
          <w:rFonts w:ascii="Times New Roman" w:eastAsia="Times New Roman" w:hAnsi="Times New Roman" w:cs="Times New Roman"/>
          <w:sz w:val="28"/>
          <w:lang w:val="uk-UA"/>
        </w:rPr>
      </w:pPr>
      <w:r w:rsidRPr="0074074F">
        <w:rPr>
          <w:rFonts w:ascii="Times New Roman" w:eastAsia="Times New Roman" w:hAnsi="Times New Roman" w:cs="Times New Roman"/>
          <w:sz w:val="28"/>
          <w:szCs w:val="28"/>
          <w:lang w:val="uk-UA"/>
        </w:rPr>
        <w:t xml:space="preserve">          </w:t>
      </w:r>
      <w:r w:rsidRPr="0074074F">
        <w:rPr>
          <w:rFonts w:ascii="Times New Roman" w:eastAsia="Times New Roman" w:hAnsi="Times New Roman" w:cs="Times New Roman"/>
          <w:sz w:val="28"/>
          <w:szCs w:val="28"/>
        </w:rPr>
        <w:t xml:space="preserve">Головною проблемою  галузі культури у Недригайлівському районі залишається недостатнє фінансування, що не </w:t>
      </w:r>
      <w:proofErr w:type="gramStart"/>
      <w:r w:rsidRPr="0074074F">
        <w:rPr>
          <w:rFonts w:ascii="Times New Roman" w:eastAsia="Times New Roman" w:hAnsi="Times New Roman" w:cs="Times New Roman"/>
          <w:sz w:val="28"/>
          <w:szCs w:val="28"/>
        </w:rPr>
        <w:t>дало можливості утримувати працівник</w:t>
      </w:r>
      <w:proofErr w:type="gramEnd"/>
      <w:r w:rsidRPr="0074074F">
        <w:rPr>
          <w:rFonts w:ascii="Times New Roman" w:eastAsia="Times New Roman" w:hAnsi="Times New Roman" w:cs="Times New Roman"/>
          <w:sz w:val="28"/>
          <w:szCs w:val="28"/>
        </w:rPr>
        <w:t>ів на повних тарифних ставках.</w:t>
      </w:r>
      <w:r w:rsidRPr="0074074F">
        <w:rPr>
          <w:rFonts w:ascii="Times New Roman" w:eastAsia="Times New Roman" w:hAnsi="Times New Roman" w:cs="Times New Roman"/>
          <w:sz w:val="28"/>
          <w:szCs w:val="28"/>
          <w:lang w:val="uk-UA"/>
        </w:rPr>
        <w:t xml:space="preserve"> При розрахунку міжбюджетних трансфертів на галузь Міністерством Фінансів України не передбачаються видатки на утримання 2 шкіл естетичного виховання, що по району становить 847,3 тис. грн., або 33,6 % від загального фонду заробітної плати.</w:t>
      </w:r>
      <w:r w:rsidRPr="0074074F">
        <w:rPr>
          <w:rFonts w:ascii="Times New Roman" w:eastAsia="Times New Roman" w:hAnsi="Times New Roman" w:cs="Times New Roman"/>
          <w:sz w:val="28"/>
          <w:lang w:val="uk-UA"/>
        </w:rPr>
        <w:t xml:space="preserve"> </w:t>
      </w:r>
    </w:p>
    <w:p w:rsidR="0074074F" w:rsidRPr="00FD038F" w:rsidRDefault="0074074F" w:rsidP="0074074F">
      <w:pPr>
        <w:spacing w:after="0" w:line="240" w:lineRule="auto"/>
        <w:ind w:firstLine="708"/>
        <w:jc w:val="both"/>
        <w:rPr>
          <w:rFonts w:ascii="Times New Roman" w:eastAsia="Times New Roman" w:hAnsi="Times New Roman" w:cs="Times New Roman"/>
          <w:sz w:val="28"/>
          <w:szCs w:val="28"/>
        </w:rPr>
      </w:pPr>
      <w:r w:rsidRPr="00FD038F">
        <w:rPr>
          <w:rFonts w:ascii="Times New Roman" w:eastAsia="Times New Roman" w:hAnsi="Times New Roman" w:cs="Times New Roman"/>
          <w:sz w:val="28"/>
          <w:szCs w:val="28"/>
          <w:lang w:val="uk-UA"/>
        </w:rPr>
        <w:t>Суспільні зміни зумовили нові тенденції розвитку галузі культури. Пріоритетними напрямами її функціонування у 2014 році є:</w:t>
      </w:r>
      <w:r w:rsidRPr="00FD038F">
        <w:rPr>
          <w:rFonts w:ascii="Times New Roman" w:eastAsia="Times New Roman" w:hAnsi="Times New Roman" w:cs="Times New Roman"/>
          <w:sz w:val="28"/>
          <w:szCs w:val="28"/>
        </w:rPr>
        <w:t xml:space="preserve"> </w:t>
      </w:r>
    </w:p>
    <w:p w:rsidR="0074074F" w:rsidRPr="00FD038F" w:rsidRDefault="0074074F" w:rsidP="0074074F">
      <w:pPr>
        <w:pStyle w:val="a9"/>
        <w:widowControl w:val="0"/>
        <w:tabs>
          <w:tab w:val="left" w:pos="-3402"/>
        </w:tabs>
        <w:spacing w:after="0" w:line="240" w:lineRule="auto"/>
        <w:ind w:firstLine="709"/>
        <w:jc w:val="both"/>
        <w:rPr>
          <w:rFonts w:ascii="Times New Roman" w:eastAsia="Times New Roman" w:hAnsi="Times New Roman" w:cs="Times New Roman"/>
          <w:sz w:val="28"/>
          <w:szCs w:val="28"/>
        </w:rPr>
      </w:pPr>
      <w:r w:rsidRPr="00FD038F">
        <w:rPr>
          <w:rFonts w:ascii="Times New Roman" w:eastAsia="Times New Roman" w:hAnsi="Times New Roman" w:cs="Times New Roman"/>
          <w:sz w:val="28"/>
          <w:szCs w:val="28"/>
        </w:rPr>
        <w:t xml:space="preserve">забезпечення розвитку культури і культурного розмаїття, </w:t>
      </w:r>
      <w:proofErr w:type="gramStart"/>
      <w:r w:rsidRPr="00FD038F">
        <w:rPr>
          <w:rFonts w:ascii="Times New Roman" w:eastAsia="Times New Roman" w:hAnsi="Times New Roman" w:cs="Times New Roman"/>
          <w:sz w:val="28"/>
          <w:szCs w:val="28"/>
        </w:rPr>
        <w:t>п</w:t>
      </w:r>
      <w:proofErr w:type="gramEnd"/>
      <w:r w:rsidRPr="00FD038F">
        <w:rPr>
          <w:rFonts w:ascii="Times New Roman" w:eastAsia="Times New Roman" w:hAnsi="Times New Roman" w:cs="Times New Roman"/>
          <w:sz w:val="28"/>
          <w:szCs w:val="28"/>
        </w:rPr>
        <w:t>ідвищення якості надання культурних послуг;</w:t>
      </w:r>
    </w:p>
    <w:p w:rsidR="0074074F" w:rsidRPr="00FD038F" w:rsidRDefault="0074074F" w:rsidP="0074074F">
      <w:pPr>
        <w:pStyle w:val="a9"/>
        <w:widowControl w:val="0"/>
        <w:tabs>
          <w:tab w:val="left" w:pos="-3402"/>
        </w:tabs>
        <w:spacing w:after="0" w:line="240" w:lineRule="auto"/>
        <w:ind w:firstLine="709"/>
        <w:jc w:val="both"/>
        <w:rPr>
          <w:rFonts w:ascii="Times New Roman" w:eastAsia="Times New Roman" w:hAnsi="Times New Roman" w:cs="Times New Roman"/>
          <w:sz w:val="28"/>
          <w:szCs w:val="28"/>
        </w:rPr>
      </w:pPr>
      <w:r w:rsidRPr="00FD038F">
        <w:rPr>
          <w:rFonts w:ascii="Times New Roman" w:eastAsia="Times New Roman" w:hAnsi="Times New Roman" w:cs="Times New Roman"/>
          <w:sz w:val="28"/>
          <w:szCs w:val="28"/>
        </w:rPr>
        <w:t>збереження, розвиток та вивчення національної культурної спадщини району;</w:t>
      </w:r>
    </w:p>
    <w:p w:rsidR="0074074F" w:rsidRPr="00FD038F" w:rsidRDefault="0074074F" w:rsidP="0074074F">
      <w:pPr>
        <w:pStyle w:val="a9"/>
        <w:widowControl w:val="0"/>
        <w:tabs>
          <w:tab w:val="left" w:pos="-3402"/>
        </w:tabs>
        <w:spacing w:after="0" w:line="240" w:lineRule="auto"/>
        <w:ind w:firstLine="709"/>
        <w:jc w:val="both"/>
        <w:rPr>
          <w:rFonts w:ascii="Times New Roman" w:eastAsia="Times New Roman" w:hAnsi="Times New Roman" w:cs="Times New Roman"/>
          <w:sz w:val="28"/>
          <w:szCs w:val="28"/>
        </w:rPr>
      </w:pPr>
      <w:r w:rsidRPr="00FD038F">
        <w:rPr>
          <w:rFonts w:ascii="Times New Roman" w:eastAsia="Times New Roman" w:hAnsi="Times New Roman" w:cs="Times New Roman"/>
          <w:sz w:val="28"/>
          <w:szCs w:val="28"/>
        </w:rPr>
        <w:t>зміцнення та модернізація матеріально-технічної бази закладів культури;</w:t>
      </w:r>
    </w:p>
    <w:p w:rsidR="0074074F" w:rsidRPr="00FD038F" w:rsidRDefault="0074074F" w:rsidP="0074074F">
      <w:pPr>
        <w:pStyle w:val="a9"/>
        <w:widowControl w:val="0"/>
        <w:tabs>
          <w:tab w:val="left" w:pos="-3402"/>
        </w:tabs>
        <w:spacing w:after="0" w:line="240" w:lineRule="auto"/>
        <w:ind w:firstLine="709"/>
        <w:jc w:val="both"/>
        <w:rPr>
          <w:rFonts w:ascii="Times New Roman" w:eastAsia="Times New Roman" w:hAnsi="Times New Roman" w:cs="Times New Roman"/>
          <w:sz w:val="28"/>
          <w:szCs w:val="28"/>
        </w:rPr>
      </w:pPr>
      <w:r w:rsidRPr="00FD038F">
        <w:rPr>
          <w:rFonts w:ascii="Times New Roman" w:eastAsia="Times New Roman" w:hAnsi="Times New Roman" w:cs="Times New Roman"/>
          <w:sz w:val="28"/>
          <w:szCs w:val="28"/>
        </w:rPr>
        <w:t xml:space="preserve">розвиток мережі самодіяльних колективів району, </w:t>
      </w:r>
      <w:proofErr w:type="gramStart"/>
      <w:r w:rsidRPr="00FD038F">
        <w:rPr>
          <w:rFonts w:ascii="Times New Roman" w:eastAsia="Times New Roman" w:hAnsi="Times New Roman" w:cs="Times New Roman"/>
          <w:sz w:val="28"/>
          <w:szCs w:val="28"/>
        </w:rPr>
        <w:t>п</w:t>
      </w:r>
      <w:proofErr w:type="gramEnd"/>
      <w:r w:rsidRPr="00FD038F">
        <w:rPr>
          <w:rFonts w:ascii="Times New Roman" w:eastAsia="Times New Roman" w:hAnsi="Times New Roman" w:cs="Times New Roman"/>
          <w:sz w:val="28"/>
          <w:szCs w:val="28"/>
        </w:rPr>
        <w:t>ідвищення їх професійного рівня;</w:t>
      </w:r>
    </w:p>
    <w:p w:rsidR="0074074F" w:rsidRPr="00FD038F" w:rsidRDefault="0074074F" w:rsidP="0074074F">
      <w:pPr>
        <w:pStyle w:val="a9"/>
        <w:widowControl w:val="0"/>
        <w:tabs>
          <w:tab w:val="left" w:pos="-3402"/>
        </w:tabs>
        <w:spacing w:after="0" w:line="240" w:lineRule="auto"/>
        <w:jc w:val="both"/>
        <w:rPr>
          <w:rFonts w:ascii="Times New Roman" w:eastAsia="Times New Roman" w:hAnsi="Times New Roman" w:cs="Times New Roman"/>
          <w:sz w:val="28"/>
          <w:szCs w:val="28"/>
        </w:rPr>
      </w:pPr>
      <w:r w:rsidRPr="00FD038F">
        <w:rPr>
          <w:rFonts w:ascii="Times New Roman" w:eastAsia="Times New Roman" w:hAnsi="Times New Roman" w:cs="Times New Roman"/>
          <w:sz w:val="28"/>
          <w:szCs w:val="28"/>
        </w:rPr>
        <w:t xml:space="preserve">          поширення інформації про туристичні можливості краю.</w:t>
      </w:r>
    </w:p>
    <w:p w:rsidR="0074074F" w:rsidRPr="0074074F" w:rsidRDefault="0074074F" w:rsidP="0074074F">
      <w:pPr>
        <w:spacing w:after="0" w:line="240" w:lineRule="auto"/>
        <w:jc w:val="both"/>
        <w:rPr>
          <w:rFonts w:ascii="Times New Roman" w:eastAsia="Times New Roman" w:hAnsi="Times New Roman" w:cs="Times New Roman"/>
          <w:sz w:val="28"/>
          <w:szCs w:val="28"/>
          <w:lang w:val="uk-UA"/>
        </w:rPr>
      </w:pPr>
      <w:r w:rsidRPr="0074074F">
        <w:rPr>
          <w:rFonts w:ascii="Times New Roman" w:eastAsia="Times New Roman" w:hAnsi="Times New Roman" w:cs="Times New Roman"/>
          <w:sz w:val="28"/>
          <w:szCs w:val="28"/>
          <w:lang w:val="uk-UA"/>
        </w:rPr>
        <w:t>Конкретними завданнями на 2014 рік у галузі культури визначені:</w:t>
      </w:r>
    </w:p>
    <w:p w:rsidR="0074074F" w:rsidRPr="0074074F" w:rsidRDefault="0074074F" w:rsidP="0074074F">
      <w:pPr>
        <w:numPr>
          <w:ilvl w:val="0"/>
          <w:numId w:val="4"/>
        </w:numPr>
        <w:spacing w:after="0" w:line="240" w:lineRule="auto"/>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szCs w:val="28"/>
          <w:lang w:val="uk-UA"/>
        </w:rPr>
        <w:t xml:space="preserve">Капітальний ремонт будівлі районного будинку культури;   </w:t>
      </w:r>
    </w:p>
    <w:p w:rsidR="0074074F" w:rsidRPr="0074074F" w:rsidRDefault="0074074F" w:rsidP="0074074F">
      <w:pPr>
        <w:numPr>
          <w:ilvl w:val="0"/>
          <w:numId w:val="4"/>
        </w:numPr>
        <w:spacing w:after="0" w:line="240" w:lineRule="auto"/>
        <w:jc w:val="both"/>
        <w:rPr>
          <w:rFonts w:ascii="Times New Roman" w:eastAsia="Times New Roman" w:hAnsi="Times New Roman" w:cs="Times New Roman"/>
          <w:sz w:val="28"/>
          <w:lang w:val="uk-UA"/>
        </w:rPr>
      </w:pPr>
      <w:r w:rsidRPr="0074074F">
        <w:rPr>
          <w:rFonts w:ascii="Times New Roman" w:eastAsia="Times New Roman" w:hAnsi="Times New Roman" w:cs="Times New Roman"/>
          <w:sz w:val="28"/>
          <w:szCs w:val="28"/>
          <w:lang w:val="uk-UA"/>
        </w:rPr>
        <w:t>Ремонти приміщень Деркачівського, Іваницького, Томашівського, Маршалівського сільських будинків культури, Сакунихського та Мелешківського сільських клубів;</w:t>
      </w:r>
    </w:p>
    <w:p w:rsidR="0074074F" w:rsidRPr="002F6B59" w:rsidRDefault="0074074F" w:rsidP="0074074F">
      <w:pPr>
        <w:widowControl w:val="0"/>
        <w:numPr>
          <w:ilvl w:val="0"/>
          <w:numId w:val="4"/>
        </w:numPr>
        <w:tabs>
          <w:tab w:val="left" w:pos="-3402"/>
        </w:tabs>
        <w:spacing w:after="0" w:line="240" w:lineRule="auto"/>
        <w:jc w:val="both"/>
        <w:rPr>
          <w:rFonts w:ascii="Times New Roman" w:eastAsia="Times New Roman" w:hAnsi="Times New Roman" w:cs="Times New Roman"/>
          <w:sz w:val="28"/>
          <w:szCs w:val="28"/>
        </w:rPr>
      </w:pPr>
      <w:r w:rsidRPr="002F6B59">
        <w:rPr>
          <w:rFonts w:ascii="Times New Roman" w:eastAsia="Times New Roman" w:hAnsi="Times New Roman" w:cs="Times New Roman"/>
          <w:sz w:val="28"/>
          <w:szCs w:val="28"/>
        </w:rPr>
        <w:t xml:space="preserve">Проведення </w:t>
      </w:r>
      <w:r w:rsidRPr="002F6B59">
        <w:rPr>
          <w:rFonts w:ascii="Times New Roman" w:eastAsia="Times New Roman" w:hAnsi="Times New Roman" w:cs="Times New Roman"/>
          <w:sz w:val="28"/>
          <w:szCs w:val="28"/>
          <w:lang w:val="uk-UA"/>
        </w:rPr>
        <w:t xml:space="preserve">мистецьких заходів: обласного </w:t>
      </w:r>
      <w:r w:rsidRPr="002F6B59">
        <w:rPr>
          <w:rFonts w:ascii="Times New Roman" w:eastAsia="Times New Roman" w:hAnsi="Times New Roman" w:cs="Times New Roman"/>
          <w:sz w:val="28"/>
          <w:szCs w:val="28"/>
        </w:rPr>
        <w:t>фестивалю-конкурсу дитячих шкільних хорових колективів «Співаймо разом»</w:t>
      </w:r>
      <w:r w:rsidRPr="002F6B59">
        <w:rPr>
          <w:rFonts w:ascii="Times New Roman" w:eastAsia="Times New Roman" w:hAnsi="Times New Roman" w:cs="Times New Roman"/>
          <w:sz w:val="28"/>
          <w:szCs w:val="28"/>
          <w:lang w:val="uk-UA"/>
        </w:rPr>
        <w:t xml:space="preserve"> </w:t>
      </w:r>
      <w:r w:rsidRPr="002F6B59">
        <w:rPr>
          <w:rFonts w:ascii="Times New Roman" w:eastAsia="Times New Roman" w:hAnsi="Times New Roman" w:cs="Times New Roman"/>
          <w:sz w:val="28"/>
          <w:szCs w:val="28"/>
        </w:rPr>
        <w:t>в с</w:t>
      </w:r>
      <w:proofErr w:type="gramStart"/>
      <w:r w:rsidRPr="002F6B59">
        <w:rPr>
          <w:rFonts w:ascii="Times New Roman" w:eastAsia="Times New Roman" w:hAnsi="Times New Roman" w:cs="Times New Roman"/>
          <w:sz w:val="28"/>
          <w:szCs w:val="28"/>
        </w:rPr>
        <w:t>.Т</w:t>
      </w:r>
      <w:proofErr w:type="gramEnd"/>
      <w:r w:rsidRPr="002F6B59">
        <w:rPr>
          <w:rFonts w:ascii="Times New Roman" w:eastAsia="Times New Roman" w:hAnsi="Times New Roman" w:cs="Times New Roman"/>
          <w:sz w:val="28"/>
          <w:szCs w:val="28"/>
        </w:rPr>
        <w:t>ерни</w:t>
      </w:r>
      <w:r w:rsidRPr="002F6B59">
        <w:rPr>
          <w:rFonts w:ascii="Times New Roman" w:eastAsia="Times New Roman" w:hAnsi="Times New Roman" w:cs="Times New Roman"/>
          <w:sz w:val="28"/>
          <w:szCs w:val="28"/>
          <w:lang w:val="uk-UA"/>
        </w:rPr>
        <w:t>, мистецької премії імені Нестора Кизенка</w:t>
      </w:r>
      <w:r w:rsidRPr="002F6B59">
        <w:rPr>
          <w:rFonts w:ascii="Times New Roman" w:eastAsia="Times New Roman" w:hAnsi="Times New Roman" w:cs="Times New Roman"/>
          <w:sz w:val="28"/>
          <w:szCs w:val="28"/>
        </w:rPr>
        <w:t xml:space="preserve">, </w:t>
      </w:r>
      <w:r w:rsidRPr="002F6B59">
        <w:rPr>
          <w:rFonts w:ascii="Times New Roman" w:eastAsia="Times New Roman" w:hAnsi="Times New Roman" w:cs="Times New Roman"/>
          <w:sz w:val="28"/>
          <w:szCs w:val="28"/>
          <w:lang w:val="uk-UA"/>
        </w:rPr>
        <w:t xml:space="preserve">регіонального фестивалю хорових колективів «Пісенне Посулля», </w:t>
      </w:r>
      <w:r w:rsidRPr="002F6B59">
        <w:rPr>
          <w:rFonts w:ascii="Times New Roman" w:eastAsia="Times New Roman" w:hAnsi="Times New Roman" w:cs="Times New Roman"/>
          <w:sz w:val="28"/>
          <w:szCs w:val="28"/>
        </w:rPr>
        <w:t>районного свята Купала</w:t>
      </w:r>
      <w:r w:rsidRPr="002F6B59">
        <w:rPr>
          <w:rFonts w:ascii="Times New Roman" w:eastAsia="Times New Roman" w:hAnsi="Times New Roman" w:cs="Times New Roman"/>
          <w:sz w:val="28"/>
          <w:szCs w:val="28"/>
          <w:lang w:val="uk-UA"/>
        </w:rPr>
        <w:t>.</w:t>
      </w:r>
    </w:p>
    <w:p w:rsidR="00443AE6" w:rsidRDefault="0074074F" w:rsidP="0074074F">
      <w:pPr>
        <w:pStyle w:val="a9"/>
        <w:widowControl w:val="0"/>
        <w:tabs>
          <w:tab w:val="left" w:pos="-3402"/>
        </w:tabs>
        <w:spacing w:after="0" w:line="240" w:lineRule="auto"/>
        <w:ind w:firstLine="709"/>
        <w:jc w:val="both"/>
        <w:rPr>
          <w:rFonts w:ascii="Times New Roman" w:hAnsi="Times New Roman" w:cs="Times New Roman"/>
          <w:sz w:val="28"/>
          <w:szCs w:val="28"/>
          <w:lang w:val="uk-UA"/>
        </w:rPr>
      </w:pPr>
      <w:r w:rsidRPr="002F6B59">
        <w:rPr>
          <w:rFonts w:ascii="Times New Roman" w:eastAsia="Times New Roman" w:hAnsi="Times New Roman" w:cs="Times New Roman"/>
          <w:sz w:val="28"/>
          <w:szCs w:val="28"/>
        </w:rPr>
        <w:t xml:space="preserve">Виконання зазначених завдань сприятиме створенню умов для задоволення культурних потреб населення району, творчого розвитку особистості та естетичного виховання громадян; збільшенню відсотка населення, охопленого культурно-дозвіллєвою діяльністю, бібліотечним та музейним обслуговуванням; покращенню матеріально-технічної бази закладів культури; забезпеченню високого професійного </w:t>
      </w:r>
      <w:proofErr w:type="gramStart"/>
      <w:r w:rsidRPr="002F6B59">
        <w:rPr>
          <w:rFonts w:ascii="Times New Roman" w:eastAsia="Times New Roman" w:hAnsi="Times New Roman" w:cs="Times New Roman"/>
          <w:sz w:val="28"/>
          <w:szCs w:val="28"/>
        </w:rPr>
        <w:t>р</w:t>
      </w:r>
      <w:proofErr w:type="gramEnd"/>
      <w:r w:rsidRPr="002F6B59">
        <w:rPr>
          <w:rFonts w:ascii="Times New Roman" w:eastAsia="Times New Roman" w:hAnsi="Times New Roman" w:cs="Times New Roman"/>
          <w:sz w:val="28"/>
          <w:szCs w:val="28"/>
        </w:rPr>
        <w:t xml:space="preserve">івня фестивалів, конкурсів, свят; посиленню контролю за збереженням історико-культурної спадщини.  </w:t>
      </w:r>
    </w:p>
    <w:p w:rsidR="0074074F" w:rsidRPr="00443AE6" w:rsidRDefault="00443AE6" w:rsidP="00443AE6">
      <w:pPr>
        <w:pStyle w:val="a9"/>
        <w:widowControl w:val="0"/>
        <w:tabs>
          <w:tab w:val="left" w:pos="-3402"/>
        </w:tabs>
        <w:spacing w:after="0" w:line="240" w:lineRule="auto"/>
        <w:ind w:firstLine="709"/>
        <w:jc w:val="center"/>
        <w:rPr>
          <w:rFonts w:ascii="Times New Roman" w:eastAsia="Times New Roman" w:hAnsi="Times New Roman" w:cs="Times New Roman"/>
          <w:b/>
          <w:sz w:val="28"/>
          <w:szCs w:val="28"/>
        </w:rPr>
      </w:pPr>
      <w:r w:rsidRPr="00443AE6">
        <w:rPr>
          <w:rFonts w:ascii="Times New Roman" w:hAnsi="Times New Roman" w:cs="Times New Roman"/>
          <w:b/>
          <w:sz w:val="28"/>
          <w:szCs w:val="28"/>
          <w:lang w:val="uk-UA"/>
        </w:rPr>
        <w:t>18. Молодіжна політика.</w:t>
      </w:r>
    </w:p>
    <w:p w:rsidR="00443AE6" w:rsidRPr="00443AE6" w:rsidRDefault="00443AE6" w:rsidP="00443AE6">
      <w:pPr>
        <w:spacing w:after="0" w:line="240" w:lineRule="auto"/>
        <w:ind w:firstLine="709"/>
        <w:jc w:val="both"/>
        <w:rPr>
          <w:rFonts w:ascii="Times New Roman" w:eastAsia="Times New Roman" w:hAnsi="Times New Roman" w:cs="Times New Roman"/>
          <w:sz w:val="28"/>
          <w:szCs w:val="28"/>
        </w:rPr>
      </w:pPr>
      <w:r w:rsidRPr="00443AE6">
        <w:rPr>
          <w:rFonts w:ascii="Times New Roman" w:eastAsia="Times New Roman" w:hAnsi="Times New Roman" w:cs="Times New Roman"/>
          <w:sz w:val="28"/>
          <w:szCs w:val="28"/>
        </w:rPr>
        <w:t xml:space="preserve">Відповідно до сучасної концепції розвитку України молодіжна політика та політика у сфері захисту прав дітей визначені в ряді основних </w:t>
      </w:r>
      <w:proofErr w:type="gramStart"/>
      <w:r w:rsidRPr="00443AE6">
        <w:rPr>
          <w:rFonts w:ascii="Times New Roman" w:eastAsia="Times New Roman" w:hAnsi="Times New Roman" w:cs="Times New Roman"/>
          <w:sz w:val="28"/>
          <w:szCs w:val="28"/>
        </w:rPr>
        <w:t>соц</w:t>
      </w:r>
      <w:proofErr w:type="gramEnd"/>
      <w:r w:rsidRPr="00443AE6">
        <w:rPr>
          <w:rFonts w:ascii="Times New Roman" w:eastAsia="Times New Roman" w:hAnsi="Times New Roman" w:cs="Times New Roman"/>
          <w:sz w:val="28"/>
          <w:szCs w:val="28"/>
        </w:rPr>
        <w:t>іальних гарантій держави.</w:t>
      </w:r>
    </w:p>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szCs w:val="28"/>
        </w:rPr>
        <w:tab/>
      </w:r>
      <w:r w:rsidRPr="00443AE6">
        <w:rPr>
          <w:rFonts w:ascii="Times New Roman" w:eastAsia="Times New Roman" w:hAnsi="Times New Roman" w:cs="Times New Roman"/>
          <w:sz w:val="28"/>
        </w:rPr>
        <w:t xml:space="preserve"> Робота в районі щодо  створення умов для активного та здорового відпочинку дітей та молоді проводилася відповідно до Районної програми оздоровлення та відпочинку дітей на 2013 </w:t>
      </w:r>
      <w:proofErr w:type="gramStart"/>
      <w:r w:rsidRPr="00443AE6">
        <w:rPr>
          <w:rFonts w:ascii="Times New Roman" w:eastAsia="Times New Roman" w:hAnsi="Times New Roman" w:cs="Times New Roman"/>
          <w:sz w:val="28"/>
        </w:rPr>
        <w:t>р</w:t>
      </w:r>
      <w:proofErr w:type="gramEnd"/>
      <w:r w:rsidRPr="00443AE6">
        <w:rPr>
          <w:rFonts w:ascii="Times New Roman" w:eastAsia="Times New Roman" w:hAnsi="Times New Roman" w:cs="Times New Roman"/>
          <w:sz w:val="28"/>
        </w:rPr>
        <w:t>ік.</w:t>
      </w:r>
    </w:p>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lastRenderedPageBreak/>
        <w:t xml:space="preserve"> </w:t>
      </w:r>
      <w:r w:rsidRPr="00443AE6">
        <w:rPr>
          <w:rFonts w:ascii="Times New Roman" w:eastAsia="Times New Roman" w:hAnsi="Times New Roman" w:cs="Times New Roman"/>
          <w:sz w:val="28"/>
        </w:rPr>
        <w:tab/>
        <w:t xml:space="preserve">Під час літнього оздоровчого періоду в районі послуги  оздоровлення та відпочинку надавали  28 літніх закладів </w:t>
      </w:r>
      <w:proofErr w:type="gramStart"/>
      <w:r w:rsidRPr="00443AE6">
        <w:rPr>
          <w:rFonts w:ascii="Times New Roman" w:eastAsia="Times New Roman" w:hAnsi="Times New Roman" w:cs="Times New Roman"/>
          <w:sz w:val="28"/>
        </w:rPr>
        <w:t>в</w:t>
      </w:r>
      <w:proofErr w:type="gramEnd"/>
      <w:r w:rsidRPr="00443AE6">
        <w:rPr>
          <w:rFonts w:ascii="Times New Roman" w:eastAsia="Times New Roman" w:hAnsi="Times New Roman" w:cs="Times New Roman"/>
          <w:sz w:val="28"/>
        </w:rPr>
        <w:t xml:space="preserve">ідпочинку з денним перебуванням,  у 2012 році - 18. У цьому році планується робота 28 </w:t>
      </w:r>
      <w:proofErr w:type="gramStart"/>
      <w:r w:rsidRPr="00443AE6">
        <w:rPr>
          <w:rFonts w:ascii="Times New Roman" w:eastAsia="Times New Roman" w:hAnsi="Times New Roman" w:cs="Times New Roman"/>
          <w:sz w:val="28"/>
        </w:rPr>
        <w:t>таких</w:t>
      </w:r>
      <w:proofErr w:type="gramEnd"/>
      <w:r w:rsidRPr="00443AE6">
        <w:rPr>
          <w:rFonts w:ascii="Times New Roman" w:eastAsia="Times New Roman" w:hAnsi="Times New Roman" w:cs="Times New Roman"/>
          <w:sz w:val="28"/>
        </w:rPr>
        <w:t xml:space="preserve"> закладів з денним перебуванням.</w:t>
      </w:r>
    </w:p>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tab/>
        <w:t>На організацію та проведення оздоровчої кампанії 2013 року витрачено кошти в сумі 506,874 тис</w:t>
      </w:r>
      <w:proofErr w:type="gramStart"/>
      <w:r w:rsidRPr="00443AE6">
        <w:rPr>
          <w:rFonts w:ascii="Times New Roman" w:eastAsia="Times New Roman" w:hAnsi="Times New Roman" w:cs="Times New Roman"/>
          <w:sz w:val="28"/>
        </w:rPr>
        <w:t>.</w:t>
      </w:r>
      <w:proofErr w:type="gramEnd"/>
      <w:r w:rsidRPr="00443AE6">
        <w:rPr>
          <w:rFonts w:ascii="Times New Roman" w:eastAsia="Times New Roman" w:hAnsi="Times New Roman" w:cs="Times New Roman"/>
          <w:sz w:val="28"/>
        </w:rPr>
        <w:t xml:space="preserve"> </w:t>
      </w:r>
      <w:proofErr w:type="gramStart"/>
      <w:r w:rsidRPr="00443AE6">
        <w:rPr>
          <w:rFonts w:ascii="Times New Roman" w:eastAsia="Times New Roman" w:hAnsi="Times New Roman" w:cs="Times New Roman"/>
          <w:sz w:val="28"/>
        </w:rPr>
        <w:t>г</w:t>
      </w:r>
      <w:proofErr w:type="gramEnd"/>
      <w:r w:rsidRPr="00443AE6">
        <w:rPr>
          <w:rFonts w:ascii="Times New Roman" w:eastAsia="Times New Roman" w:hAnsi="Times New Roman" w:cs="Times New Roman"/>
          <w:sz w:val="28"/>
        </w:rPr>
        <w:t>рн... Обсяг видатків з районного бюджету  склав 296,4 тис</w:t>
      </w:r>
      <w:proofErr w:type="gramStart"/>
      <w:r w:rsidRPr="00443AE6">
        <w:rPr>
          <w:rFonts w:ascii="Times New Roman" w:eastAsia="Times New Roman" w:hAnsi="Times New Roman" w:cs="Times New Roman"/>
          <w:sz w:val="28"/>
        </w:rPr>
        <w:t>.</w:t>
      </w:r>
      <w:proofErr w:type="gramEnd"/>
      <w:r w:rsidRPr="00443AE6">
        <w:rPr>
          <w:rFonts w:ascii="Times New Roman" w:eastAsia="Times New Roman" w:hAnsi="Times New Roman" w:cs="Times New Roman"/>
          <w:sz w:val="28"/>
        </w:rPr>
        <w:t xml:space="preserve"> </w:t>
      </w:r>
      <w:proofErr w:type="gramStart"/>
      <w:r w:rsidRPr="00443AE6">
        <w:rPr>
          <w:rFonts w:ascii="Times New Roman" w:eastAsia="Times New Roman" w:hAnsi="Times New Roman" w:cs="Times New Roman"/>
          <w:sz w:val="28"/>
        </w:rPr>
        <w:t>г</w:t>
      </w:r>
      <w:proofErr w:type="gramEnd"/>
      <w:r w:rsidRPr="00443AE6">
        <w:rPr>
          <w:rFonts w:ascii="Times New Roman" w:eastAsia="Times New Roman" w:hAnsi="Times New Roman" w:cs="Times New Roman"/>
          <w:sz w:val="28"/>
        </w:rPr>
        <w:t xml:space="preserve">рн... Для порівняння: у 2012 році на проведення оздоровчо-відпочинкової кампанії витрачено 279,836 тис. грн., з них кошти  районного бюджету – 155,702 тис. грн.. Відповідно до прогнозованих показників щодо фінансового забезпечення оздоровчої кампанії </w:t>
      </w:r>
      <w:proofErr w:type="gramStart"/>
      <w:r w:rsidRPr="00443AE6">
        <w:rPr>
          <w:rFonts w:ascii="Times New Roman" w:eastAsia="Times New Roman" w:hAnsi="Times New Roman" w:cs="Times New Roman"/>
          <w:sz w:val="28"/>
        </w:rPr>
        <w:t>вл</w:t>
      </w:r>
      <w:proofErr w:type="gramEnd"/>
      <w:r w:rsidRPr="00443AE6">
        <w:rPr>
          <w:rFonts w:ascii="Times New Roman" w:eastAsia="Times New Roman" w:hAnsi="Times New Roman" w:cs="Times New Roman"/>
          <w:sz w:val="28"/>
        </w:rPr>
        <w:t>ітку  2014 року  планується  використати кошти в сумі 534,512 тис. грн.., в тому числі: бюджетних коштів – 411,743 тис. грн..</w:t>
      </w:r>
    </w:p>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tab/>
        <w:t xml:space="preserve">За оперативними даними у 2013 році послугами оздоровлення та відпочинку охоплено 2050 дітей, що становить 94% від загальної кількості дітей (за даними держстатзвітності - 2170 дітей віком від 7 </w:t>
      </w:r>
      <w:proofErr w:type="gramStart"/>
      <w:r w:rsidRPr="00443AE6">
        <w:rPr>
          <w:rFonts w:ascii="Times New Roman" w:eastAsia="Times New Roman" w:hAnsi="Times New Roman" w:cs="Times New Roman"/>
          <w:sz w:val="28"/>
        </w:rPr>
        <w:t>до</w:t>
      </w:r>
      <w:proofErr w:type="gramEnd"/>
      <w:r w:rsidRPr="00443AE6">
        <w:rPr>
          <w:rFonts w:ascii="Times New Roman" w:eastAsia="Times New Roman" w:hAnsi="Times New Roman" w:cs="Times New Roman"/>
          <w:sz w:val="28"/>
        </w:rPr>
        <w:t xml:space="preserve"> 16 років, станом на 01.01.2013). </w:t>
      </w:r>
      <w:proofErr w:type="gramStart"/>
      <w:r w:rsidRPr="00443AE6">
        <w:rPr>
          <w:rFonts w:ascii="Times New Roman" w:eastAsia="Times New Roman" w:hAnsi="Times New Roman" w:cs="Times New Roman"/>
          <w:sz w:val="28"/>
        </w:rPr>
        <w:t>З</w:t>
      </w:r>
      <w:proofErr w:type="gramEnd"/>
      <w:r w:rsidRPr="00443AE6">
        <w:rPr>
          <w:rFonts w:ascii="Times New Roman" w:eastAsia="Times New Roman" w:hAnsi="Times New Roman" w:cs="Times New Roman"/>
          <w:sz w:val="28"/>
        </w:rPr>
        <w:t xml:space="preserve"> них: 1703 дитини (78,5%) оздоровлювалися та відпочивали  у закладах, які працювали на території Недригайлівського району, а 347 дітей -  за межами району та області.</w:t>
      </w:r>
    </w:p>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tab/>
        <w:t xml:space="preserve">Першочергову увагу  приділено оздоровленню дітей </w:t>
      </w:r>
      <w:proofErr w:type="gramStart"/>
      <w:r w:rsidRPr="00443AE6">
        <w:rPr>
          <w:rFonts w:ascii="Times New Roman" w:eastAsia="Times New Roman" w:hAnsi="Times New Roman" w:cs="Times New Roman"/>
          <w:sz w:val="28"/>
        </w:rPr>
        <w:t>п</w:t>
      </w:r>
      <w:proofErr w:type="gramEnd"/>
      <w:r w:rsidRPr="00443AE6">
        <w:rPr>
          <w:rFonts w:ascii="Times New Roman" w:eastAsia="Times New Roman" w:hAnsi="Times New Roman" w:cs="Times New Roman"/>
          <w:sz w:val="28"/>
        </w:rPr>
        <w:t xml:space="preserve">ільгових категорій. </w:t>
      </w:r>
      <w:proofErr w:type="gramStart"/>
      <w:r w:rsidRPr="00443AE6">
        <w:rPr>
          <w:rFonts w:ascii="Times New Roman" w:eastAsia="Times New Roman" w:hAnsi="Times New Roman" w:cs="Times New Roman"/>
          <w:sz w:val="28"/>
        </w:rPr>
        <w:t>З</w:t>
      </w:r>
      <w:proofErr w:type="gramEnd"/>
      <w:r w:rsidRPr="00443AE6">
        <w:rPr>
          <w:rFonts w:ascii="Times New Roman" w:eastAsia="Times New Roman" w:hAnsi="Times New Roman" w:cs="Times New Roman"/>
          <w:sz w:val="28"/>
        </w:rPr>
        <w:t xml:space="preserve">  початку літньої оздоровчої  кампанії  відпочинком та оздоровленням охоплено 63 (100%) дітей-сиріт та дітей позбавлених батьківського піклування, 56  дітей-інвалідів (96%), 345 дітей з малозабезпечених та багатодітних сімей (96%),  18 (94%) дітей, постраждалих внаслідок Чорнобильської катастрофи, 205 талановитих та обдарованих дітей (100%).</w:t>
      </w:r>
    </w:p>
    <w:p w:rsidR="00443AE6" w:rsidRPr="00443AE6" w:rsidRDefault="00443AE6" w:rsidP="00443AE6">
      <w:pPr>
        <w:spacing w:after="0" w:line="240" w:lineRule="auto"/>
        <w:jc w:val="both"/>
        <w:rPr>
          <w:rFonts w:ascii="Times New Roman" w:eastAsia="Times New Roman" w:hAnsi="Times New Roman" w:cs="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2398"/>
        <w:gridCol w:w="1614"/>
        <w:gridCol w:w="1589"/>
        <w:gridCol w:w="1589"/>
        <w:gridCol w:w="1589"/>
      </w:tblGrid>
      <w:tr w:rsidR="00443AE6" w:rsidRPr="00443AE6" w:rsidTr="00FC48A4">
        <w:tc>
          <w:tcPr>
            <w:tcW w:w="828" w:type="dxa"/>
          </w:tcPr>
          <w:p w:rsidR="00443AE6" w:rsidRPr="00443AE6" w:rsidRDefault="00443AE6" w:rsidP="00443AE6">
            <w:pPr>
              <w:spacing w:after="0" w:line="240" w:lineRule="auto"/>
              <w:jc w:val="center"/>
              <w:rPr>
                <w:rFonts w:ascii="Times New Roman" w:eastAsia="Times New Roman" w:hAnsi="Times New Roman" w:cs="Times New Roman"/>
                <w:b/>
                <w:sz w:val="28"/>
              </w:rPr>
            </w:pPr>
            <w:r w:rsidRPr="00443AE6">
              <w:rPr>
                <w:rFonts w:ascii="Times New Roman" w:eastAsia="Times New Roman" w:hAnsi="Times New Roman" w:cs="Times New Roman"/>
                <w:b/>
                <w:sz w:val="28"/>
              </w:rPr>
              <w:t>№</w:t>
            </w:r>
          </w:p>
        </w:tc>
        <w:tc>
          <w:tcPr>
            <w:tcW w:w="2456" w:type="dxa"/>
          </w:tcPr>
          <w:p w:rsidR="00443AE6" w:rsidRPr="00443AE6" w:rsidRDefault="00443AE6" w:rsidP="00443AE6">
            <w:pPr>
              <w:spacing w:after="0" w:line="240" w:lineRule="auto"/>
              <w:jc w:val="center"/>
              <w:rPr>
                <w:rFonts w:ascii="Times New Roman" w:eastAsia="Times New Roman" w:hAnsi="Times New Roman" w:cs="Times New Roman"/>
                <w:b/>
                <w:sz w:val="28"/>
              </w:rPr>
            </w:pPr>
            <w:r w:rsidRPr="00443AE6">
              <w:rPr>
                <w:rFonts w:ascii="Times New Roman" w:eastAsia="Times New Roman" w:hAnsi="Times New Roman" w:cs="Times New Roman"/>
                <w:b/>
                <w:sz w:val="28"/>
              </w:rPr>
              <w:t>Показник</w:t>
            </w:r>
          </w:p>
        </w:tc>
        <w:tc>
          <w:tcPr>
            <w:tcW w:w="1642" w:type="dxa"/>
          </w:tcPr>
          <w:p w:rsidR="00443AE6" w:rsidRPr="00443AE6" w:rsidRDefault="00443AE6" w:rsidP="00443AE6">
            <w:pPr>
              <w:spacing w:after="0" w:line="240" w:lineRule="auto"/>
              <w:jc w:val="center"/>
              <w:rPr>
                <w:rFonts w:ascii="Times New Roman" w:eastAsia="Times New Roman" w:hAnsi="Times New Roman" w:cs="Times New Roman"/>
                <w:b/>
                <w:sz w:val="28"/>
              </w:rPr>
            </w:pPr>
            <w:r w:rsidRPr="00443AE6">
              <w:rPr>
                <w:rFonts w:ascii="Times New Roman" w:eastAsia="Times New Roman" w:hAnsi="Times New Roman" w:cs="Times New Roman"/>
                <w:b/>
                <w:sz w:val="28"/>
              </w:rPr>
              <w:t>Одиниця виміру</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b/>
                <w:sz w:val="28"/>
              </w:rPr>
            </w:pPr>
            <w:r w:rsidRPr="00443AE6">
              <w:rPr>
                <w:rFonts w:ascii="Times New Roman" w:eastAsia="Times New Roman" w:hAnsi="Times New Roman" w:cs="Times New Roman"/>
                <w:b/>
                <w:sz w:val="28"/>
              </w:rPr>
              <w:t xml:space="preserve">2012 </w:t>
            </w:r>
            <w:proofErr w:type="gramStart"/>
            <w:r w:rsidRPr="00443AE6">
              <w:rPr>
                <w:rFonts w:ascii="Times New Roman" w:eastAsia="Times New Roman" w:hAnsi="Times New Roman" w:cs="Times New Roman"/>
                <w:b/>
                <w:sz w:val="28"/>
              </w:rPr>
              <w:t>р</w:t>
            </w:r>
            <w:proofErr w:type="gramEnd"/>
            <w:r w:rsidRPr="00443AE6">
              <w:rPr>
                <w:rFonts w:ascii="Times New Roman" w:eastAsia="Times New Roman" w:hAnsi="Times New Roman" w:cs="Times New Roman"/>
                <w:b/>
                <w:sz w:val="28"/>
              </w:rPr>
              <w:t>ік</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b/>
                <w:sz w:val="28"/>
              </w:rPr>
            </w:pPr>
            <w:r w:rsidRPr="00443AE6">
              <w:rPr>
                <w:rFonts w:ascii="Times New Roman" w:eastAsia="Times New Roman" w:hAnsi="Times New Roman" w:cs="Times New Roman"/>
                <w:b/>
                <w:sz w:val="28"/>
              </w:rPr>
              <w:t xml:space="preserve">2013 </w:t>
            </w:r>
            <w:proofErr w:type="gramStart"/>
            <w:r w:rsidRPr="00443AE6">
              <w:rPr>
                <w:rFonts w:ascii="Times New Roman" w:eastAsia="Times New Roman" w:hAnsi="Times New Roman" w:cs="Times New Roman"/>
                <w:b/>
                <w:sz w:val="28"/>
              </w:rPr>
              <w:t>р</w:t>
            </w:r>
            <w:proofErr w:type="gramEnd"/>
            <w:r w:rsidRPr="00443AE6">
              <w:rPr>
                <w:rFonts w:ascii="Times New Roman" w:eastAsia="Times New Roman" w:hAnsi="Times New Roman" w:cs="Times New Roman"/>
                <w:b/>
                <w:sz w:val="28"/>
              </w:rPr>
              <w:t>ік</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b/>
                <w:sz w:val="28"/>
              </w:rPr>
            </w:pPr>
            <w:r w:rsidRPr="00443AE6">
              <w:rPr>
                <w:rFonts w:ascii="Times New Roman" w:eastAsia="Times New Roman" w:hAnsi="Times New Roman" w:cs="Times New Roman"/>
                <w:b/>
                <w:sz w:val="28"/>
              </w:rPr>
              <w:t xml:space="preserve">2014 </w:t>
            </w:r>
            <w:proofErr w:type="gramStart"/>
            <w:r w:rsidRPr="00443AE6">
              <w:rPr>
                <w:rFonts w:ascii="Times New Roman" w:eastAsia="Times New Roman" w:hAnsi="Times New Roman" w:cs="Times New Roman"/>
                <w:b/>
                <w:sz w:val="28"/>
              </w:rPr>
              <w:t>р</w:t>
            </w:r>
            <w:proofErr w:type="gramEnd"/>
            <w:r w:rsidRPr="00443AE6">
              <w:rPr>
                <w:rFonts w:ascii="Times New Roman" w:eastAsia="Times New Roman" w:hAnsi="Times New Roman" w:cs="Times New Roman"/>
                <w:b/>
                <w:sz w:val="28"/>
              </w:rPr>
              <w:t>ік</w:t>
            </w:r>
          </w:p>
          <w:p w:rsidR="00443AE6" w:rsidRPr="00443AE6" w:rsidRDefault="00443AE6" w:rsidP="00443AE6">
            <w:pPr>
              <w:spacing w:after="0" w:line="240" w:lineRule="auto"/>
              <w:jc w:val="center"/>
              <w:rPr>
                <w:rFonts w:ascii="Times New Roman" w:eastAsia="Times New Roman" w:hAnsi="Times New Roman" w:cs="Times New Roman"/>
                <w:b/>
                <w:sz w:val="28"/>
              </w:rPr>
            </w:pPr>
            <w:r w:rsidRPr="00443AE6">
              <w:rPr>
                <w:rFonts w:ascii="Times New Roman" w:eastAsia="Times New Roman" w:hAnsi="Times New Roman" w:cs="Times New Roman"/>
                <w:b/>
                <w:sz w:val="28"/>
              </w:rPr>
              <w:t>(план)</w:t>
            </w:r>
          </w:p>
        </w:tc>
      </w:tr>
      <w:tr w:rsidR="00443AE6" w:rsidRPr="00443AE6" w:rsidTr="00FC48A4">
        <w:tc>
          <w:tcPr>
            <w:tcW w:w="828" w:type="dxa"/>
          </w:tcPr>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t>1</w:t>
            </w:r>
          </w:p>
        </w:tc>
        <w:tc>
          <w:tcPr>
            <w:tcW w:w="2456" w:type="dxa"/>
          </w:tcPr>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t>Літні заклади оздоровлення з денним перебуванням</w:t>
            </w:r>
          </w:p>
        </w:tc>
        <w:tc>
          <w:tcPr>
            <w:tcW w:w="1642"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одиниць</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18</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28</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28</w:t>
            </w:r>
          </w:p>
        </w:tc>
      </w:tr>
      <w:tr w:rsidR="00443AE6" w:rsidRPr="00443AE6" w:rsidTr="00FC48A4">
        <w:tc>
          <w:tcPr>
            <w:tcW w:w="828" w:type="dxa"/>
          </w:tcPr>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t>2</w:t>
            </w:r>
          </w:p>
        </w:tc>
        <w:tc>
          <w:tcPr>
            <w:tcW w:w="2456" w:type="dxa"/>
          </w:tcPr>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t>Фінансування  оздоровчої кампанії</w:t>
            </w:r>
          </w:p>
        </w:tc>
        <w:tc>
          <w:tcPr>
            <w:tcW w:w="1642"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тис. грн</w:t>
            </w:r>
            <w:proofErr w:type="gramStart"/>
            <w:r w:rsidRPr="00443AE6">
              <w:rPr>
                <w:rFonts w:ascii="Times New Roman" w:eastAsia="Times New Roman" w:hAnsi="Times New Roman" w:cs="Times New Roman"/>
                <w:sz w:val="28"/>
              </w:rPr>
              <w:t>..</w:t>
            </w:r>
            <w:proofErr w:type="gramEnd"/>
          </w:p>
        </w:tc>
        <w:tc>
          <w:tcPr>
            <w:tcW w:w="1643"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279,836</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506,874</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534,512</w:t>
            </w:r>
          </w:p>
        </w:tc>
      </w:tr>
      <w:tr w:rsidR="00443AE6" w:rsidRPr="00443AE6" w:rsidTr="00FC48A4">
        <w:tc>
          <w:tcPr>
            <w:tcW w:w="828" w:type="dxa"/>
          </w:tcPr>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t>3</w:t>
            </w:r>
          </w:p>
        </w:tc>
        <w:tc>
          <w:tcPr>
            <w:tcW w:w="2456" w:type="dxa"/>
          </w:tcPr>
          <w:p w:rsidR="00443AE6" w:rsidRPr="00443AE6" w:rsidRDefault="00443AE6" w:rsidP="00443AE6">
            <w:pPr>
              <w:spacing w:after="0" w:line="240" w:lineRule="auto"/>
              <w:jc w:val="both"/>
              <w:rPr>
                <w:rFonts w:ascii="Times New Roman" w:eastAsia="Times New Roman" w:hAnsi="Times New Roman" w:cs="Times New Roman"/>
                <w:sz w:val="28"/>
              </w:rPr>
            </w:pPr>
            <w:r w:rsidRPr="00443AE6">
              <w:rPr>
                <w:rFonts w:ascii="Times New Roman" w:eastAsia="Times New Roman" w:hAnsi="Times New Roman" w:cs="Times New Roman"/>
                <w:sz w:val="28"/>
              </w:rPr>
              <w:t>Чисельність ді</w:t>
            </w:r>
            <w:proofErr w:type="gramStart"/>
            <w:r w:rsidRPr="00443AE6">
              <w:rPr>
                <w:rFonts w:ascii="Times New Roman" w:eastAsia="Times New Roman" w:hAnsi="Times New Roman" w:cs="Times New Roman"/>
                <w:sz w:val="28"/>
              </w:rPr>
              <w:t>т</w:t>
            </w:r>
            <w:r w:rsidR="0040397E">
              <w:rPr>
                <w:rFonts w:ascii="Times New Roman" w:eastAsia="Times New Roman" w:hAnsi="Times New Roman" w:cs="Times New Roman"/>
                <w:sz w:val="28"/>
                <w:lang w:val="uk-UA"/>
              </w:rPr>
              <w:t>-</w:t>
            </w:r>
            <w:r w:rsidRPr="00443AE6">
              <w:rPr>
                <w:rFonts w:ascii="Times New Roman" w:eastAsia="Times New Roman" w:hAnsi="Times New Roman" w:cs="Times New Roman"/>
                <w:sz w:val="28"/>
              </w:rPr>
              <w:t>ей</w:t>
            </w:r>
            <w:proofErr w:type="gramEnd"/>
            <w:r w:rsidRPr="00443AE6">
              <w:rPr>
                <w:rFonts w:ascii="Times New Roman" w:eastAsia="Times New Roman" w:hAnsi="Times New Roman" w:cs="Times New Roman"/>
                <w:sz w:val="28"/>
              </w:rPr>
              <w:t>, які охоплені  послугами оздоровлення та відпочинку</w:t>
            </w:r>
          </w:p>
        </w:tc>
        <w:tc>
          <w:tcPr>
            <w:tcW w:w="1642" w:type="dxa"/>
          </w:tcPr>
          <w:p w:rsidR="00443AE6" w:rsidRPr="00443AE6" w:rsidRDefault="00443AE6" w:rsidP="00443AE6">
            <w:pPr>
              <w:spacing w:after="0" w:line="240" w:lineRule="auto"/>
              <w:jc w:val="center"/>
              <w:rPr>
                <w:rFonts w:ascii="Times New Roman" w:eastAsia="Times New Roman" w:hAnsi="Times New Roman" w:cs="Times New Roman"/>
                <w:sz w:val="28"/>
              </w:rPr>
            </w:pPr>
            <w:proofErr w:type="gramStart"/>
            <w:r w:rsidRPr="00443AE6">
              <w:rPr>
                <w:rFonts w:ascii="Times New Roman" w:eastAsia="Times New Roman" w:hAnsi="Times New Roman" w:cs="Times New Roman"/>
                <w:sz w:val="28"/>
              </w:rPr>
              <w:t>осіб</w:t>
            </w:r>
            <w:proofErr w:type="gramEnd"/>
          </w:p>
        </w:tc>
        <w:tc>
          <w:tcPr>
            <w:tcW w:w="1643"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1461</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2050</w:t>
            </w:r>
          </w:p>
        </w:tc>
        <w:tc>
          <w:tcPr>
            <w:tcW w:w="1643" w:type="dxa"/>
          </w:tcPr>
          <w:p w:rsidR="00443AE6" w:rsidRPr="00443AE6" w:rsidRDefault="00443AE6" w:rsidP="00443AE6">
            <w:pPr>
              <w:spacing w:after="0" w:line="240" w:lineRule="auto"/>
              <w:jc w:val="center"/>
              <w:rPr>
                <w:rFonts w:ascii="Times New Roman" w:eastAsia="Times New Roman" w:hAnsi="Times New Roman" w:cs="Times New Roman"/>
                <w:sz w:val="28"/>
              </w:rPr>
            </w:pPr>
            <w:r w:rsidRPr="00443AE6">
              <w:rPr>
                <w:rFonts w:ascii="Times New Roman" w:eastAsia="Times New Roman" w:hAnsi="Times New Roman" w:cs="Times New Roman"/>
                <w:sz w:val="28"/>
              </w:rPr>
              <w:t>2342</w:t>
            </w:r>
          </w:p>
        </w:tc>
      </w:tr>
    </w:tbl>
    <w:p w:rsidR="00443AE6" w:rsidRPr="00443AE6" w:rsidRDefault="00443AE6" w:rsidP="00443AE6">
      <w:pPr>
        <w:spacing w:after="0" w:line="240" w:lineRule="auto"/>
        <w:jc w:val="both"/>
        <w:rPr>
          <w:rFonts w:ascii="Times New Roman" w:eastAsia="Times New Roman" w:hAnsi="Times New Roman" w:cs="Times New Roman"/>
          <w:sz w:val="28"/>
        </w:rPr>
      </w:pPr>
    </w:p>
    <w:p w:rsidR="00443AE6" w:rsidRPr="00443AE6" w:rsidRDefault="00443AE6" w:rsidP="00443AE6">
      <w:pPr>
        <w:spacing w:after="0" w:line="240" w:lineRule="auto"/>
        <w:ind w:firstLine="708"/>
        <w:jc w:val="both"/>
        <w:rPr>
          <w:rFonts w:ascii="Times New Roman" w:eastAsia="Times New Roman" w:hAnsi="Times New Roman" w:cs="Times New Roman"/>
          <w:sz w:val="28"/>
        </w:rPr>
      </w:pPr>
      <w:r w:rsidRPr="00443AE6">
        <w:rPr>
          <w:rFonts w:ascii="Times New Roman" w:eastAsia="Times New Roman" w:hAnsi="Times New Roman" w:cs="Times New Roman"/>
          <w:sz w:val="28"/>
        </w:rPr>
        <w:t xml:space="preserve">Робота  щодо реалізації державної молодіжної політики  проводиться відповідно до районної комплексної програми „Молодь Недригайлівщини” на 2011-2015 роки. </w:t>
      </w:r>
      <w:proofErr w:type="gramStart"/>
      <w:r w:rsidRPr="00443AE6">
        <w:rPr>
          <w:rFonts w:ascii="Times New Roman" w:eastAsia="Times New Roman" w:hAnsi="Times New Roman" w:cs="Times New Roman"/>
          <w:sz w:val="28"/>
        </w:rPr>
        <w:t>З</w:t>
      </w:r>
      <w:proofErr w:type="gramEnd"/>
      <w:r w:rsidRPr="00443AE6">
        <w:rPr>
          <w:rFonts w:ascii="Times New Roman" w:eastAsia="Times New Roman" w:hAnsi="Times New Roman" w:cs="Times New Roman"/>
          <w:sz w:val="28"/>
        </w:rPr>
        <w:t xml:space="preserve"> метою створення  умов для інтелектуального  самовдосконалення молоді, творчого розвитку особистості в районі </w:t>
      </w:r>
      <w:r w:rsidRPr="00443AE6">
        <w:rPr>
          <w:rFonts w:ascii="Times New Roman" w:eastAsia="Times New Roman" w:hAnsi="Times New Roman" w:cs="Times New Roman"/>
          <w:sz w:val="28"/>
        </w:rPr>
        <w:lastRenderedPageBreak/>
        <w:t>працюють школи естетичного виховання: Недригайлівська ДМШ, Тернівська ДШМ. Для творчо обдарованих дітей і молоді проводяться предметні олімпіади, зльоти поетів-початківців „Проба пера”, „Миколаївські читання”, І етапи Міжнародних мовно-літературного конкурсу імені Тараса Шевченка, конкурсу  з української мови імені Петра Яцика, фестиваль для дітей з функціональними обмеженнями „Пові</w:t>
      </w:r>
      <w:proofErr w:type="gramStart"/>
      <w:r w:rsidRPr="00443AE6">
        <w:rPr>
          <w:rFonts w:ascii="Times New Roman" w:eastAsia="Times New Roman" w:hAnsi="Times New Roman" w:cs="Times New Roman"/>
          <w:sz w:val="28"/>
        </w:rPr>
        <w:t>р</w:t>
      </w:r>
      <w:proofErr w:type="gramEnd"/>
      <w:r w:rsidRPr="00443AE6">
        <w:rPr>
          <w:rFonts w:ascii="Times New Roman" w:eastAsia="Times New Roman" w:hAnsi="Times New Roman" w:cs="Times New Roman"/>
          <w:sz w:val="28"/>
        </w:rPr>
        <w:t xml:space="preserve"> у себе, і в тебе повірять інші”, конкурс краси і грації „Міс Посулля” та інші. </w:t>
      </w:r>
    </w:p>
    <w:p w:rsidR="00443AE6" w:rsidRPr="00443AE6" w:rsidRDefault="00443AE6" w:rsidP="00443AE6">
      <w:pPr>
        <w:spacing w:after="0" w:line="240" w:lineRule="auto"/>
        <w:ind w:firstLine="708"/>
        <w:jc w:val="both"/>
        <w:rPr>
          <w:rFonts w:ascii="Times New Roman" w:eastAsia="Times New Roman" w:hAnsi="Times New Roman" w:cs="Times New Roman"/>
          <w:sz w:val="28"/>
        </w:rPr>
      </w:pPr>
      <w:proofErr w:type="gramStart"/>
      <w:r w:rsidRPr="00443AE6">
        <w:rPr>
          <w:rFonts w:ascii="Times New Roman" w:eastAsia="Times New Roman" w:hAnsi="Times New Roman" w:cs="Times New Roman"/>
          <w:sz w:val="28"/>
        </w:rPr>
        <w:t>З</w:t>
      </w:r>
      <w:proofErr w:type="gramEnd"/>
      <w:r w:rsidRPr="00443AE6">
        <w:rPr>
          <w:rFonts w:ascii="Times New Roman" w:eastAsia="Times New Roman" w:hAnsi="Times New Roman" w:cs="Times New Roman"/>
          <w:sz w:val="28"/>
        </w:rPr>
        <w:t xml:space="preserve"> метою  утвердження патріотизму, духовності, військово- патріотичного виховання   молоді району  проведено факельний похід молоді та мітинг-реквієм біля меморіального комплексу у смт Недригайлів до Дня Перемоги, акцію „Пам’ять” з відвідуванням  місць  поховань партизанів-підпільників, проведено святкові проводи призовників на строкову військову службу до Лав Збройних  Сил України, відроджено районну військово-патріотичну гру „</w:t>
      </w:r>
      <w:proofErr w:type="gramStart"/>
      <w:r w:rsidRPr="00443AE6">
        <w:rPr>
          <w:rFonts w:ascii="Times New Roman" w:eastAsia="Times New Roman" w:hAnsi="Times New Roman" w:cs="Times New Roman"/>
          <w:sz w:val="28"/>
        </w:rPr>
        <w:t>З</w:t>
      </w:r>
      <w:proofErr w:type="gramEnd"/>
      <w:r w:rsidRPr="00443AE6">
        <w:rPr>
          <w:rFonts w:ascii="Times New Roman" w:eastAsia="Times New Roman" w:hAnsi="Times New Roman" w:cs="Times New Roman"/>
          <w:sz w:val="28"/>
        </w:rPr>
        <w:t xml:space="preserve">ірниця”. </w:t>
      </w:r>
    </w:p>
    <w:p w:rsidR="00443AE6" w:rsidRPr="00443AE6" w:rsidRDefault="00443AE6" w:rsidP="00443AE6">
      <w:pPr>
        <w:spacing w:after="0" w:line="240" w:lineRule="auto"/>
        <w:ind w:firstLine="708"/>
        <w:jc w:val="both"/>
        <w:rPr>
          <w:rFonts w:ascii="Times New Roman" w:eastAsia="Times New Roman" w:hAnsi="Times New Roman" w:cs="Times New Roman"/>
          <w:sz w:val="28"/>
        </w:rPr>
      </w:pPr>
      <w:proofErr w:type="gramStart"/>
      <w:r w:rsidRPr="00443AE6">
        <w:rPr>
          <w:rFonts w:ascii="Times New Roman" w:eastAsia="Times New Roman" w:hAnsi="Times New Roman" w:cs="Times New Roman"/>
          <w:sz w:val="28"/>
        </w:rPr>
        <w:t>У</w:t>
      </w:r>
      <w:proofErr w:type="gramEnd"/>
      <w:r w:rsidRPr="00443AE6">
        <w:rPr>
          <w:rFonts w:ascii="Times New Roman" w:eastAsia="Times New Roman" w:hAnsi="Times New Roman" w:cs="Times New Roman"/>
          <w:sz w:val="28"/>
        </w:rPr>
        <w:t xml:space="preserve"> районі діє  3 громадські молодіжні організації: Вільшанська сільська  молодіжна громадська організація „Острів порятунку”, районна молодіжна громадська організація „Союз молоді регіонів України” та районна молодіжна громадська  організація „Пошук”, діяльність яких спрямована  на захист та задоволення  </w:t>
      </w:r>
      <w:proofErr w:type="gramStart"/>
      <w:r w:rsidRPr="00443AE6">
        <w:rPr>
          <w:rFonts w:ascii="Times New Roman" w:eastAsia="Times New Roman" w:hAnsi="Times New Roman" w:cs="Times New Roman"/>
          <w:sz w:val="28"/>
        </w:rPr>
        <w:t>соц</w:t>
      </w:r>
      <w:proofErr w:type="gramEnd"/>
      <w:r w:rsidRPr="00443AE6">
        <w:rPr>
          <w:rFonts w:ascii="Times New Roman" w:eastAsia="Times New Roman" w:hAnsi="Times New Roman" w:cs="Times New Roman"/>
          <w:sz w:val="28"/>
        </w:rPr>
        <w:t>іальних, творчих, духовних та інших потреб молоді.</w:t>
      </w:r>
    </w:p>
    <w:p w:rsidR="00443AE6" w:rsidRPr="00443AE6" w:rsidRDefault="00443AE6" w:rsidP="00443AE6">
      <w:pPr>
        <w:spacing w:after="0" w:line="240" w:lineRule="auto"/>
        <w:jc w:val="both"/>
        <w:rPr>
          <w:rFonts w:ascii="Times New Roman" w:eastAsia="Times New Roman" w:hAnsi="Times New Roman" w:cs="Times New Roman"/>
          <w:sz w:val="28"/>
          <w:szCs w:val="28"/>
        </w:rPr>
      </w:pPr>
      <w:r w:rsidRPr="00443AE6">
        <w:rPr>
          <w:rFonts w:ascii="Times New Roman" w:eastAsia="Times New Roman" w:hAnsi="Times New Roman" w:cs="Times New Roman"/>
        </w:rPr>
        <w:tab/>
      </w:r>
      <w:r w:rsidRPr="00443AE6">
        <w:rPr>
          <w:rFonts w:ascii="Times New Roman" w:eastAsia="Times New Roman" w:hAnsi="Times New Roman" w:cs="Times New Roman"/>
          <w:sz w:val="28"/>
          <w:szCs w:val="28"/>
        </w:rPr>
        <w:t xml:space="preserve">У липні 2013 року  з метою залучення  </w:t>
      </w:r>
      <w:proofErr w:type="gramStart"/>
      <w:r w:rsidRPr="00443AE6">
        <w:rPr>
          <w:rFonts w:ascii="Times New Roman" w:eastAsia="Times New Roman" w:hAnsi="Times New Roman" w:cs="Times New Roman"/>
          <w:sz w:val="28"/>
          <w:szCs w:val="28"/>
        </w:rPr>
        <w:t>молод</w:t>
      </w:r>
      <w:proofErr w:type="gramEnd"/>
      <w:r w:rsidRPr="00443AE6">
        <w:rPr>
          <w:rFonts w:ascii="Times New Roman" w:eastAsia="Times New Roman" w:hAnsi="Times New Roman" w:cs="Times New Roman"/>
          <w:sz w:val="28"/>
          <w:szCs w:val="28"/>
        </w:rPr>
        <w:t>і до спортивно-туристичної діяльності проведено районний спортивно-туристичний зліт молоді, у якому взяли участь  15 молодіжних команд району.</w:t>
      </w:r>
    </w:p>
    <w:p w:rsidR="00443AE6" w:rsidRPr="00443AE6" w:rsidRDefault="00443AE6" w:rsidP="00443AE6">
      <w:pPr>
        <w:spacing w:after="0" w:line="240" w:lineRule="auto"/>
        <w:jc w:val="both"/>
        <w:rPr>
          <w:rFonts w:ascii="Times New Roman" w:eastAsia="Times New Roman" w:hAnsi="Times New Roman" w:cs="Times New Roman"/>
          <w:sz w:val="28"/>
          <w:szCs w:val="28"/>
        </w:rPr>
      </w:pPr>
      <w:r w:rsidRPr="00443AE6">
        <w:rPr>
          <w:rFonts w:ascii="Times New Roman" w:eastAsia="Times New Roman" w:hAnsi="Times New Roman" w:cs="Times New Roman"/>
          <w:sz w:val="28"/>
          <w:szCs w:val="28"/>
        </w:rPr>
        <w:tab/>
        <w:t>Для забезпечення  у 2014 році  активізації молодіжного руху в районі, надання всебічної допомоги цільовим групам населення</w:t>
      </w:r>
      <w:proofErr w:type="gramStart"/>
      <w:r w:rsidRPr="00443AE6">
        <w:rPr>
          <w:rFonts w:ascii="Times New Roman" w:eastAsia="Times New Roman" w:hAnsi="Times New Roman" w:cs="Times New Roman"/>
          <w:sz w:val="28"/>
          <w:szCs w:val="28"/>
        </w:rPr>
        <w:t xml:space="preserve"> ,</w:t>
      </w:r>
      <w:proofErr w:type="gramEnd"/>
      <w:r w:rsidRPr="00443AE6">
        <w:rPr>
          <w:rFonts w:ascii="Times New Roman" w:eastAsia="Times New Roman" w:hAnsi="Times New Roman" w:cs="Times New Roman"/>
          <w:sz w:val="28"/>
          <w:szCs w:val="28"/>
        </w:rPr>
        <w:t xml:space="preserve"> особливо дітям та молоді, підтримки творчої та обдарованої молоді, визначені наступні завдання:</w:t>
      </w:r>
    </w:p>
    <w:p w:rsidR="00443AE6" w:rsidRPr="00443AE6" w:rsidRDefault="00443AE6" w:rsidP="00443AE6">
      <w:pPr>
        <w:spacing w:after="0" w:line="240" w:lineRule="auto"/>
        <w:jc w:val="both"/>
        <w:rPr>
          <w:rFonts w:ascii="Times New Roman" w:eastAsia="Times New Roman" w:hAnsi="Times New Roman" w:cs="Times New Roman"/>
          <w:sz w:val="28"/>
          <w:szCs w:val="28"/>
        </w:rPr>
      </w:pPr>
      <w:r w:rsidRPr="00443AE6">
        <w:rPr>
          <w:rFonts w:ascii="Times New Roman" w:eastAsia="Times New Roman" w:hAnsi="Times New Roman" w:cs="Times New Roman"/>
          <w:sz w:val="28"/>
          <w:szCs w:val="28"/>
        </w:rPr>
        <w:tab/>
      </w:r>
      <w:proofErr w:type="gramStart"/>
      <w:r w:rsidRPr="00443AE6">
        <w:rPr>
          <w:rFonts w:ascii="Times New Roman" w:eastAsia="Times New Roman" w:hAnsi="Times New Roman" w:cs="Times New Roman"/>
          <w:sz w:val="28"/>
          <w:szCs w:val="28"/>
        </w:rPr>
        <w:t>п</w:t>
      </w:r>
      <w:proofErr w:type="gramEnd"/>
      <w:r w:rsidRPr="00443AE6">
        <w:rPr>
          <w:rFonts w:ascii="Times New Roman" w:eastAsia="Times New Roman" w:hAnsi="Times New Roman" w:cs="Times New Roman"/>
          <w:sz w:val="28"/>
          <w:szCs w:val="28"/>
        </w:rPr>
        <w:t>ідтримка діяльності молодіжних  громадських організацій;</w:t>
      </w:r>
    </w:p>
    <w:p w:rsidR="00443AE6" w:rsidRPr="00443AE6" w:rsidRDefault="00443AE6" w:rsidP="00443AE6">
      <w:pPr>
        <w:spacing w:after="0" w:line="240" w:lineRule="auto"/>
        <w:jc w:val="both"/>
        <w:rPr>
          <w:rFonts w:ascii="Times New Roman" w:eastAsia="Times New Roman" w:hAnsi="Times New Roman" w:cs="Times New Roman"/>
          <w:sz w:val="28"/>
          <w:szCs w:val="28"/>
        </w:rPr>
      </w:pPr>
      <w:r w:rsidRPr="00443AE6">
        <w:rPr>
          <w:rFonts w:ascii="Times New Roman" w:eastAsia="Times New Roman" w:hAnsi="Times New Roman" w:cs="Times New Roman"/>
          <w:sz w:val="28"/>
          <w:szCs w:val="28"/>
        </w:rPr>
        <w:tab/>
        <w:t xml:space="preserve">організація та проведення на належному </w:t>
      </w:r>
      <w:proofErr w:type="gramStart"/>
      <w:r w:rsidRPr="00443AE6">
        <w:rPr>
          <w:rFonts w:ascii="Times New Roman" w:eastAsia="Times New Roman" w:hAnsi="Times New Roman" w:cs="Times New Roman"/>
          <w:sz w:val="28"/>
          <w:szCs w:val="28"/>
        </w:rPr>
        <w:t>р</w:t>
      </w:r>
      <w:proofErr w:type="gramEnd"/>
      <w:r w:rsidRPr="00443AE6">
        <w:rPr>
          <w:rFonts w:ascii="Times New Roman" w:eastAsia="Times New Roman" w:hAnsi="Times New Roman" w:cs="Times New Roman"/>
          <w:sz w:val="28"/>
          <w:szCs w:val="28"/>
        </w:rPr>
        <w:t>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p w:rsidR="00443AE6" w:rsidRPr="00443AE6" w:rsidRDefault="00443AE6" w:rsidP="00443AE6">
      <w:pPr>
        <w:spacing w:after="0" w:line="240" w:lineRule="auto"/>
        <w:jc w:val="both"/>
        <w:rPr>
          <w:rFonts w:ascii="Times New Roman" w:eastAsia="Times New Roman" w:hAnsi="Times New Roman" w:cs="Times New Roman"/>
          <w:sz w:val="28"/>
          <w:szCs w:val="28"/>
        </w:rPr>
      </w:pPr>
      <w:r w:rsidRPr="00443AE6">
        <w:rPr>
          <w:rFonts w:ascii="Times New Roman" w:eastAsia="Times New Roman" w:hAnsi="Times New Roman" w:cs="Times New Roman"/>
          <w:sz w:val="28"/>
          <w:szCs w:val="28"/>
        </w:rPr>
        <w:tab/>
        <w:t xml:space="preserve">сприяння діяльності вже існуючих та створенню нових молодіжних громадських об’єднань, центрів, клубів </w:t>
      </w:r>
      <w:proofErr w:type="gramStart"/>
      <w:r w:rsidRPr="00443AE6">
        <w:rPr>
          <w:rFonts w:ascii="Times New Roman" w:eastAsia="Times New Roman" w:hAnsi="Times New Roman" w:cs="Times New Roman"/>
          <w:sz w:val="28"/>
          <w:szCs w:val="28"/>
        </w:rPr>
        <w:t>в</w:t>
      </w:r>
      <w:proofErr w:type="gramEnd"/>
      <w:r w:rsidRPr="00443AE6">
        <w:rPr>
          <w:rFonts w:ascii="Times New Roman" w:eastAsia="Times New Roman" w:hAnsi="Times New Roman" w:cs="Times New Roman"/>
          <w:sz w:val="28"/>
          <w:szCs w:val="28"/>
        </w:rPr>
        <w:t>ійськово-патріотичного спрямування;</w:t>
      </w:r>
    </w:p>
    <w:p w:rsidR="00443AE6" w:rsidRDefault="00443AE6" w:rsidP="00443AE6">
      <w:pPr>
        <w:spacing w:after="0" w:line="240" w:lineRule="auto"/>
        <w:jc w:val="both"/>
        <w:rPr>
          <w:rFonts w:ascii="Times New Roman" w:hAnsi="Times New Roman" w:cs="Times New Roman"/>
          <w:sz w:val="28"/>
          <w:szCs w:val="28"/>
          <w:lang w:val="uk-UA"/>
        </w:rPr>
      </w:pPr>
      <w:r w:rsidRPr="00443AE6">
        <w:rPr>
          <w:rFonts w:ascii="Times New Roman" w:eastAsia="Times New Roman" w:hAnsi="Times New Roman" w:cs="Times New Roman"/>
          <w:sz w:val="28"/>
          <w:szCs w:val="28"/>
        </w:rPr>
        <w:tab/>
        <w:t xml:space="preserve">пропаганда </w:t>
      </w:r>
      <w:proofErr w:type="gramStart"/>
      <w:r w:rsidRPr="00443AE6">
        <w:rPr>
          <w:rFonts w:ascii="Times New Roman" w:eastAsia="Times New Roman" w:hAnsi="Times New Roman" w:cs="Times New Roman"/>
          <w:sz w:val="28"/>
          <w:szCs w:val="28"/>
        </w:rPr>
        <w:t>здорового</w:t>
      </w:r>
      <w:proofErr w:type="gramEnd"/>
      <w:r w:rsidRPr="00443AE6">
        <w:rPr>
          <w:rFonts w:ascii="Times New Roman" w:eastAsia="Times New Roman" w:hAnsi="Times New Roman" w:cs="Times New Roman"/>
          <w:sz w:val="28"/>
          <w:szCs w:val="28"/>
        </w:rPr>
        <w:t xml:space="preserve"> способу життя  серед дітей та молоді. </w:t>
      </w:r>
    </w:p>
    <w:p w:rsidR="00886FFA" w:rsidRDefault="00886FFA" w:rsidP="00466A33">
      <w:pPr>
        <w:jc w:val="center"/>
        <w:rPr>
          <w:rFonts w:ascii="Times New Roman" w:hAnsi="Times New Roman" w:cs="Times New Roman"/>
          <w:b/>
          <w:sz w:val="28"/>
          <w:szCs w:val="28"/>
          <w:lang w:val="uk-UA"/>
        </w:rPr>
      </w:pPr>
    </w:p>
    <w:p w:rsidR="00466A33" w:rsidRPr="00466A33" w:rsidRDefault="00466A33" w:rsidP="00466A33">
      <w:pPr>
        <w:jc w:val="center"/>
        <w:rPr>
          <w:rFonts w:ascii="Times New Roman" w:eastAsia="Times New Roman" w:hAnsi="Times New Roman" w:cs="Times New Roman"/>
          <w:b/>
          <w:sz w:val="28"/>
          <w:szCs w:val="28"/>
        </w:rPr>
      </w:pPr>
      <w:r>
        <w:rPr>
          <w:rFonts w:ascii="Times New Roman" w:hAnsi="Times New Roman" w:cs="Times New Roman"/>
          <w:b/>
          <w:sz w:val="28"/>
          <w:szCs w:val="28"/>
          <w:lang w:val="uk-UA"/>
        </w:rPr>
        <w:t>19.</w:t>
      </w:r>
      <w:r w:rsidRPr="00466A33">
        <w:rPr>
          <w:rFonts w:ascii="Times New Roman" w:eastAsia="Times New Roman" w:hAnsi="Times New Roman" w:cs="Times New Roman"/>
          <w:b/>
          <w:sz w:val="28"/>
          <w:szCs w:val="28"/>
        </w:rPr>
        <w:t xml:space="preserve"> Фізична культура та спорт</w:t>
      </w:r>
    </w:p>
    <w:p w:rsidR="00466A33" w:rsidRPr="00466A33" w:rsidRDefault="00466A33" w:rsidP="00466A33">
      <w:pPr>
        <w:spacing w:after="0" w:line="240" w:lineRule="auto"/>
        <w:jc w:val="both"/>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 xml:space="preserve">           Фізкультурно-оздоровча та  спортивно-масова робота в районі проводиться відповідно до Програми розвитку фізичної культури і спорту  в Недригайлівському районі на 2012-2016 роки.</w:t>
      </w:r>
    </w:p>
    <w:p w:rsidR="00466A33" w:rsidRPr="00466A33" w:rsidRDefault="00466A33" w:rsidP="00466A33">
      <w:pPr>
        <w:spacing w:after="0" w:line="240" w:lineRule="auto"/>
        <w:jc w:val="both"/>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ab/>
        <w:t xml:space="preserve">Відділом освіти, молоді та спорту Недригайлівської районної державної </w:t>
      </w:r>
      <w:proofErr w:type="gramStart"/>
      <w:r w:rsidRPr="00466A33">
        <w:rPr>
          <w:rFonts w:ascii="Times New Roman" w:eastAsia="Times New Roman" w:hAnsi="Times New Roman" w:cs="Times New Roman"/>
          <w:sz w:val="28"/>
          <w:szCs w:val="28"/>
        </w:rPr>
        <w:t>адм</w:t>
      </w:r>
      <w:proofErr w:type="gramEnd"/>
      <w:r w:rsidRPr="00466A33">
        <w:rPr>
          <w:rFonts w:ascii="Times New Roman" w:eastAsia="Times New Roman" w:hAnsi="Times New Roman" w:cs="Times New Roman"/>
          <w:sz w:val="28"/>
          <w:szCs w:val="28"/>
        </w:rPr>
        <w:t xml:space="preserve">іністрації  постійно  проводиться робота  по підвищенню рівня  залучення  населення  до занять фізичною культурою і спортом. Фізичною </w:t>
      </w:r>
      <w:r w:rsidRPr="00466A33">
        <w:rPr>
          <w:rFonts w:ascii="Times New Roman" w:eastAsia="Times New Roman" w:hAnsi="Times New Roman" w:cs="Times New Roman"/>
          <w:sz w:val="28"/>
          <w:szCs w:val="28"/>
        </w:rPr>
        <w:lastRenderedPageBreak/>
        <w:t xml:space="preserve">культурою і спортом  охоплено 4530 </w:t>
      </w:r>
      <w:proofErr w:type="gramStart"/>
      <w:r w:rsidRPr="00466A33">
        <w:rPr>
          <w:rFonts w:ascii="Times New Roman" w:eastAsia="Times New Roman" w:hAnsi="Times New Roman" w:cs="Times New Roman"/>
          <w:sz w:val="28"/>
          <w:szCs w:val="28"/>
        </w:rPr>
        <w:t>осіб</w:t>
      </w:r>
      <w:proofErr w:type="gramEnd"/>
      <w:r w:rsidRPr="00466A33">
        <w:rPr>
          <w:rFonts w:ascii="Times New Roman" w:eastAsia="Times New Roman" w:hAnsi="Times New Roman" w:cs="Times New Roman"/>
          <w:sz w:val="28"/>
          <w:szCs w:val="28"/>
        </w:rPr>
        <w:t>. Проведено 210  фізкультурно-масових і спортивних заходів. Збірні команди району постійно приймають участь в обласних змаганнях.</w:t>
      </w:r>
      <w:r w:rsidRPr="00466A33">
        <w:rPr>
          <w:rFonts w:ascii="Times New Roman" w:eastAsia="Times New Roman" w:hAnsi="Times New Roman" w:cs="Times New Roman"/>
          <w:sz w:val="28"/>
          <w:szCs w:val="28"/>
        </w:rPr>
        <w:tab/>
      </w:r>
    </w:p>
    <w:p w:rsidR="00466A33" w:rsidRPr="00466A33" w:rsidRDefault="00466A33" w:rsidP="00466A33">
      <w:pPr>
        <w:spacing w:after="0" w:line="240" w:lineRule="auto"/>
        <w:jc w:val="both"/>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ab/>
      </w:r>
      <w:proofErr w:type="gramStart"/>
      <w:r w:rsidRPr="00466A33">
        <w:rPr>
          <w:rFonts w:ascii="Times New Roman" w:eastAsia="Times New Roman" w:hAnsi="Times New Roman" w:cs="Times New Roman"/>
          <w:sz w:val="28"/>
          <w:szCs w:val="28"/>
        </w:rPr>
        <w:t>З</w:t>
      </w:r>
      <w:proofErr w:type="gramEnd"/>
      <w:r w:rsidRPr="00466A33">
        <w:rPr>
          <w:rFonts w:ascii="Times New Roman" w:eastAsia="Times New Roman" w:hAnsi="Times New Roman" w:cs="Times New Roman"/>
          <w:sz w:val="28"/>
          <w:szCs w:val="28"/>
        </w:rPr>
        <w:t xml:space="preserve"> метою підтримки та розвитку  видів спорту в районі діють  федерації футболу, волейболу, шахів, шашок, тенісу, дзюдо, пляжного волейболу, хокею. В районі діє Недригайлівська районна організація Всеукраїнського фізкультурно-спортивного товариства „Колос” агропромислового комплексу України метою даної організації є популяризація фізичної культури і спорту </w:t>
      </w:r>
      <w:proofErr w:type="gramStart"/>
      <w:r w:rsidRPr="00466A33">
        <w:rPr>
          <w:rFonts w:ascii="Times New Roman" w:eastAsia="Times New Roman" w:hAnsi="Times New Roman" w:cs="Times New Roman"/>
          <w:sz w:val="28"/>
          <w:szCs w:val="28"/>
        </w:rPr>
        <w:t>в</w:t>
      </w:r>
      <w:proofErr w:type="gramEnd"/>
      <w:r w:rsidRPr="00466A33">
        <w:rPr>
          <w:rFonts w:ascii="Times New Roman" w:eastAsia="Times New Roman" w:hAnsi="Times New Roman" w:cs="Times New Roman"/>
          <w:sz w:val="28"/>
          <w:szCs w:val="28"/>
        </w:rPr>
        <w:t xml:space="preserve"> сільській місцевості.</w:t>
      </w:r>
    </w:p>
    <w:p w:rsidR="00466A33" w:rsidRPr="00466A33" w:rsidRDefault="00466A33" w:rsidP="00466A33">
      <w:pPr>
        <w:spacing w:after="0" w:line="240" w:lineRule="auto"/>
        <w:ind w:firstLine="708"/>
        <w:jc w:val="both"/>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В районі триває реалізація проекту  розвитку  в районі дитячо-юнацького футболу: у 2013 році відкрито філію футбольного центру „Барса”; збудовано  майданчик зі штучним покриттям  на базі Коровинської загальноосвітньої школи;  розпочато роботу щодо будівництва  майданчика зі штучним покриттям  на баз</w:t>
      </w:r>
      <w:proofErr w:type="gramStart"/>
      <w:r w:rsidRPr="00466A33">
        <w:rPr>
          <w:rFonts w:ascii="Times New Roman" w:eastAsia="Times New Roman" w:hAnsi="Times New Roman" w:cs="Times New Roman"/>
          <w:sz w:val="28"/>
          <w:szCs w:val="28"/>
        </w:rPr>
        <w:t>і В</w:t>
      </w:r>
      <w:proofErr w:type="gramEnd"/>
      <w:r w:rsidRPr="00466A33">
        <w:rPr>
          <w:rFonts w:ascii="Times New Roman" w:eastAsia="Times New Roman" w:hAnsi="Times New Roman" w:cs="Times New Roman"/>
          <w:sz w:val="28"/>
          <w:szCs w:val="28"/>
        </w:rPr>
        <w:t xml:space="preserve">ільшанської загальноосвітньої школи. </w:t>
      </w:r>
    </w:p>
    <w:p w:rsidR="00466A33" w:rsidRPr="00466A33" w:rsidRDefault="00466A33" w:rsidP="00466A33">
      <w:pPr>
        <w:spacing w:after="0" w:line="240" w:lineRule="auto"/>
        <w:ind w:firstLine="708"/>
        <w:jc w:val="both"/>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 xml:space="preserve">Планується будівництво ще 4 майданчиків із штучним покриттям:  Вільшанська ЗОШ І-ІІІ </w:t>
      </w:r>
      <w:proofErr w:type="gramStart"/>
      <w:r w:rsidRPr="00466A33">
        <w:rPr>
          <w:rFonts w:ascii="Times New Roman" w:eastAsia="Times New Roman" w:hAnsi="Times New Roman" w:cs="Times New Roman"/>
          <w:sz w:val="28"/>
          <w:szCs w:val="28"/>
        </w:rPr>
        <w:t>ст</w:t>
      </w:r>
      <w:proofErr w:type="gramEnd"/>
      <w:r w:rsidRPr="00466A33">
        <w:rPr>
          <w:rFonts w:ascii="Times New Roman" w:eastAsia="Times New Roman" w:hAnsi="Times New Roman" w:cs="Times New Roman"/>
          <w:sz w:val="28"/>
          <w:szCs w:val="28"/>
        </w:rPr>
        <w:t>, Тернівська ЗОШ І-ІІІ ст., ДПТНЗ „Недригайлівське ВПУ” та КСК „Колос” смт Недригайлів.</w:t>
      </w:r>
    </w:p>
    <w:p w:rsidR="00466A33" w:rsidRPr="00466A33" w:rsidRDefault="00466A33" w:rsidP="00466A33">
      <w:pPr>
        <w:spacing w:after="0" w:line="240" w:lineRule="auto"/>
        <w:ind w:firstLine="708"/>
        <w:jc w:val="both"/>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 xml:space="preserve">Здійснюється  </w:t>
      </w:r>
      <w:proofErr w:type="gramStart"/>
      <w:r w:rsidRPr="00466A33">
        <w:rPr>
          <w:rFonts w:ascii="Times New Roman" w:eastAsia="Times New Roman" w:hAnsi="Times New Roman" w:cs="Times New Roman"/>
          <w:sz w:val="28"/>
          <w:szCs w:val="28"/>
        </w:rPr>
        <w:t>п</w:t>
      </w:r>
      <w:proofErr w:type="gramEnd"/>
      <w:r w:rsidRPr="00466A33">
        <w:rPr>
          <w:rFonts w:ascii="Times New Roman" w:eastAsia="Times New Roman" w:hAnsi="Times New Roman" w:cs="Times New Roman"/>
          <w:sz w:val="28"/>
          <w:szCs w:val="28"/>
        </w:rPr>
        <w:t xml:space="preserve">ідвищення кваліфікації тренерів-викладачів, вчителів фізичної культури, впровадження сучасних методик тренування та популяризація футболу. </w:t>
      </w:r>
    </w:p>
    <w:p w:rsidR="00466A33" w:rsidRPr="00466A33" w:rsidRDefault="00466A33" w:rsidP="00466A33">
      <w:pPr>
        <w:spacing w:after="0" w:line="240" w:lineRule="auto"/>
        <w:ind w:firstLine="708"/>
        <w:jc w:val="both"/>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В районі діє Недригайлівська дитячо-юнацька спортивна школа „Барса”. У цьому навчальному році в спортивній школі навчається 487 вихованців у 33 навчально-виховних групах на 5 відділеннях: дзюдо, волейбол, футбол, легка атлетика, настільний тені</w:t>
      </w:r>
      <w:proofErr w:type="gramStart"/>
      <w:r w:rsidRPr="00466A33">
        <w:rPr>
          <w:rFonts w:ascii="Times New Roman" w:eastAsia="Times New Roman" w:hAnsi="Times New Roman" w:cs="Times New Roman"/>
          <w:sz w:val="28"/>
          <w:szCs w:val="28"/>
        </w:rPr>
        <w:t>с</w:t>
      </w:r>
      <w:proofErr w:type="gramEnd"/>
      <w:r w:rsidRPr="00466A33">
        <w:rPr>
          <w:rFonts w:ascii="Times New Roman" w:eastAsia="Times New Roman" w:hAnsi="Times New Roman" w:cs="Times New Roman"/>
          <w:sz w:val="28"/>
          <w:szCs w:val="28"/>
        </w:rPr>
        <w:t xml:space="preserve">. До спортивного навчання  в ДЮСШ залучено 26,9%  учнів  загальноосвітніх шкіл району. </w:t>
      </w:r>
    </w:p>
    <w:p w:rsidR="00466A33" w:rsidRPr="00466A33" w:rsidRDefault="00466A33" w:rsidP="00466A33">
      <w:pPr>
        <w:spacing w:after="0" w:line="240" w:lineRule="auto"/>
        <w:ind w:firstLine="708"/>
        <w:jc w:val="both"/>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У 2013 році вихованці спортивної школи досягли певних результатів: збірна команда дівчат Недригайлівської ДЮСШ „Барса” посіла 3 місце в обласних змаганнях з футзалу, здобула 4 місце в регіональному турнірі шкільного футболу</w:t>
      </w:r>
      <w:proofErr w:type="gramStart"/>
      <w:r w:rsidRPr="00466A33">
        <w:rPr>
          <w:rFonts w:ascii="Times New Roman" w:eastAsia="Times New Roman" w:hAnsi="Times New Roman" w:cs="Times New Roman"/>
          <w:sz w:val="28"/>
          <w:szCs w:val="28"/>
        </w:rPr>
        <w:t xml:space="preserve"> „Д</w:t>
      </w:r>
      <w:proofErr w:type="gramEnd"/>
      <w:r w:rsidRPr="00466A33">
        <w:rPr>
          <w:rFonts w:ascii="Times New Roman" w:eastAsia="Times New Roman" w:hAnsi="Times New Roman" w:cs="Times New Roman"/>
          <w:sz w:val="28"/>
          <w:szCs w:val="28"/>
        </w:rPr>
        <w:t xml:space="preserve">іти - майбутнє України”,  футбольна команда Коровинської ЗОШ стала володарем Кубку  шкільного обласного чемпіонату „Золота осінь”. </w:t>
      </w:r>
    </w:p>
    <w:p w:rsidR="00466A33" w:rsidRPr="00466A33" w:rsidRDefault="00466A33" w:rsidP="00466A33">
      <w:pPr>
        <w:pStyle w:val="a9"/>
        <w:spacing w:after="0" w:line="240" w:lineRule="auto"/>
        <w:ind w:firstLine="708"/>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 xml:space="preserve">За результатами  перемог на обласних та Всеукраїнських змаганнях цього року  6 вихованцям Недригайлівської ДЮСШ „Барса” </w:t>
      </w:r>
      <w:proofErr w:type="gramStart"/>
      <w:r w:rsidRPr="00466A33">
        <w:rPr>
          <w:rFonts w:ascii="Times New Roman" w:eastAsia="Times New Roman" w:hAnsi="Times New Roman" w:cs="Times New Roman"/>
          <w:sz w:val="28"/>
          <w:szCs w:val="28"/>
        </w:rPr>
        <w:t>присво</w:t>
      </w:r>
      <w:proofErr w:type="gramEnd"/>
      <w:r w:rsidRPr="00466A33">
        <w:rPr>
          <w:rFonts w:ascii="Times New Roman" w:eastAsia="Times New Roman" w:hAnsi="Times New Roman" w:cs="Times New Roman"/>
          <w:sz w:val="28"/>
          <w:szCs w:val="28"/>
        </w:rPr>
        <w:t xml:space="preserve">єно перший спортивний розряд  та один спортивний розряд  кандидата в майстри спорту з боротьби дзюдо. </w:t>
      </w:r>
    </w:p>
    <w:p w:rsidR="00466A33" w:rsidRPr="00466A33" w:rsidRDefault="00466A33" w:rsidP="00466A33">
      <w:pPr>
        <w:pStyle w:val="a9"/>
        <w:spacing w:after="0" w:line="240" w:lineRule="auto"/>
        <w:ind w:firstLine="708"/>
        <w:rPr>
          <w:rFonts w:ascii="Times New Roman" w:eastAsia="Times New Roman" w:hAnsi="Times New Roman" w:cs="Times New Roman"/>
          <w:sz w:val="28"/>
          <w:szCs w:val="28"/>
        </w:rPr>
      </w:pPr>
      <w:proofErr w:type="gramStart"/>
      <w:r w:rsidRPr="00466A33">
        <w:rPr>
          <w:rFonts w:ascii="Times New Roman" w:eastAsia="Times New Roman" w:hAnsi="Times New Roman" w:cs="Times New Roman"/>
          <w:sz w:val="28"/>
          <w:szCs w:val="28"/>
        </w:rPr>
        <w:t>З</w:t>
      </w:r>
      <w:proofErr w:type="gramEnd"/>
      <w:r w:rsidRPr="00466A33">
        <w:rPr>
          <w:rFonts w:ascii="Times New Roman" w:eastAsia="Times New Roman" w:hAnsi="Times New Roman" w:cs="Times New Roman"/>
          <w:sz w:val="28"/>
          <w:szCs w:val="28"/>
        </w:rPr>
        <w:t xml:space="preserve"> метою залучення широких верств населення до масового спорту, популяризації здорового способу життя, створення умов для  занять фізичною культурою і спортом визначені наступні завдання:</w:t>
      </w:r>
    </w:p>
    <w:p w:rsidR="00466A33" w:rsidRPr="00466A33" w:rsidRDefault="00466A33" w:rsidP="00466A33">
      <w:pPr>
        <w:pStyle w:val="a9"/>
        <w:spacing w:after="0" w:line="240" w:lineRule="auto"/>
        <w:ind w:firstLine="708"/>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 xml:space="preserve">розвиток олімпійських і </w:t>
      </w:r>
      <w:proofErr w:type="gramStart"/>
      <w:r w:rsidRPr="00466A33">
        <w:rPr>
          <w:rFonts w:ascii="Times New Roman" w:eastAsia="Times New Roman" w:hAnsi="Times New Roman" w:cs="Times New Roman"/>
          <w:sz w:val="28"/>
          <w:szCs w:val="28"/>
        </w:rPr>
        <w:t>не ол</w:t>
      </w:r>
      <w:proofErr w:type="gramEnd"/>
      <w:r w:rsidRPr="00466A33">
        <w:rPr>
          <w:rFonts w:ascii="Times New Roman" w:eastAsia="Times New Roman" w:hAnsi="Times New Roman" w:cs="Times New Roman"/>
          <w:sz w:val="28"/>
          <w:szCs w:val="28"/>
        </w:rPr>
        <w:t>імпійських видів спорту у навчально-виховній сфері;</w:t>
      </w:r>
    </w:p>
    <w:p w:rsidR="00466A33" w:rsidRPr="00466A33" w:rsidRDefault="00466A33" w:rsidP="00466A33">
      <w:pPr>
        <w:pStyle w:val="a9"/>
        <w:spacing w:after="0" w:line="240" w:lineRule="auto"/>
        <w:ind w:firstLine="708"/>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залучення до систематичних занять фізичною культурою і спортом  населення з обмеженими фізичними можливостями;</w:t>
      </w:r>
    </w:p>
    <w:p w:rsidR="00466A33" w:rsidRPr="00466A33" w:rsidRDefault="00466A33" w:rsidP="00466A33">
      <w:pPr>
        <w:pStyle w:val="a9"/>
        <w:spacing w:after="0" w:line="240" w:lineRule="auto"/>
        <w:ind w:firstLine="708"/>
        <w:rPr>
          <w:rFonts w:ascii="Times New Roman" w:eastAsia="Times New Roman" w:hAnsi="Times New Roman" w:cs="Times New Roman"/>
          <w:sz w:val="28"/>
          <w:szCs w:val="28"/>
        </w:rPr>
      </w:pPr>
      <w:r w:rsidRPr="00466A33">
        <w:rPr>
          <w:rFonts w:ascii="Times New Roman" w:eastAsia="Times New Roman" w:hAnsi="Times New Roman" w:cs="Times New Roman"/>
          <w:sz w:val="28"/>
          <w:szCs w:val="28"/>
        </w:rPr>
        <w:t>будівництво 4 майданчиків із штучним покриттям:  Вільшанська ЗОШ І-ІІІ ст., Тернівська ЗОШ І-ІІІ ст., ДПТНЗ „Недригайлівське ВПУ” та КСК „Колос” смт Недригайлів;</w:t>
      </w:r>
    </w:p>
    <w:p w:rsidR="00466A33" w:rsidRDefault="00466A33" w:rsidP="00466A33">
      <w:pPr>
        <w:pStyle w:val="a9"/>
        <w:spacing w:after="0" w:line="240" w:lineRule="auto"/>
        <w:ind w:firstLine="708"/>
        <w:rPr>
          <w:rFonts w:ascii="Times New Roman" w:hAnsi="Times New Roman" w:cs="Times New Roman"/>
          <w:sz w:val="28"/>
          <w:szCs w:val="28"/>
          <w:lang w:val="uk-UA"/>
        </w:rPr>
      </w:pPr>
      <w:r w:rsidRPr="00466A33">
        <w:rPr>
          <w:rFonts w:ascii="Times New Roman" w:eastAsia="Times New Roman" w:hAnsi="Times New Roman" w:cs="Times New Roman"/>
          <w:sz w:val="28"/>
          <w:szCs w:val="28"/>
        </w:rPr>
        <w:lastRenderedPageBreak/>
        <w:t>оновлення  спортивної матеріально-технічної бази дитячо-юнацької спортивної школи „Барса” та загальноосвітніх навчальних закладі</w:t>
      </w:r>
      <w:proofErr w:type="gramStart"/>
      <w:r w:rsidRPr="00466A33">
        <w:rPr>
          <w:rFonts w:ascii="Times New Roman" w:eastAsia="Times New Roman" w:hAnsi="Times New Roman" w:cs="Times New Roman"/>
          <w:sz w:val="28"/>
          <w:szCs w:val="28"/>
        </w:rPr>
        <w:t>в</w:t>
      </w:r>
      <w:proofErr w:type="gramEnd"/>
      <w:r w:rsidRPr="00466A33">
        <w:rPr>
          <w:rFonts w:ascii="Times New Roman" w:eastAsia="Times New Roman" w:hAnsi="Times New Roman" w:cs="Times New Roman"/>
          <w:sz w:val="28"/>
          <w:szCs w:val="28"/>
        </w:rPr>
        <w:t>.</w:t>
      </w:r>
    </w:p>
    <w:p w:rsidR="00DC236E" w:rsidRDefault="00DC236E" w:rsidP="00466A33">
      <w:pPr>
        <w:pStyle w:val="a9"/>
        <w:spacing w:after="0" w:line="240" w:lineRule="auto"/>
        <w:ind w:firstLine="708"/>
        <w:rPr>
          <w:rFonts w:ascii="Times New Roman" w:hAnsi="Times New Roman" w:cs="Times New Roman"/>
          <w:sz w:val="28"/>
          <w:szCs w:val="28"/>
          <w:lang w:val="uk-UA"/>
        </w:rPr>
      </w:pPr>
    </w:p>
    <w:p w:rsidR="00DC236E" w:rsidRDefault="00DC236E" w:rsidP="00DC236E">
      <w:pPr>
        <w:pStyle w:val="a9"/>
        <w:spacing w:after="0" w:line="240" w:lineRule="auto"/>
        <w:ind w:firstLine="708"/>
        <w:jc w:val="center"/>
        <w:rPr>
          <w:rFonts w:ascii="Times New Roman" w:hAnsi="Times New Roman" w:cs="Times New Roman"/>
          <w:b/>
          <w:sz w:val="28"/>
          <w:szCs w:val="28"/>
          <w:lang w:val="uk-UA"/>
        </w:rPr>
      </w:pPr>
      <w:r w:rsidRPr="00DC236E">
        <w:rPr>
          <w:rFonts w:ascii="Times New Roman" w:hAnsi="Times New Roman" w:cs="Times New Roman"/>
          <w:b/>
          <w:sz w:val="28"/>
          <w:szCs w:val="28"/>
          <w:lang w:val="uk-UA"/>
        </w:rPr>
        <w:t>20. Інформаційний простір та громадянське суспільство.</w:t>
      </w:r>
    </w:p>
    <w:p w:rsidR="00A5282B" w:rsidRPr="00A5282B" w:rsidRDefault="00A5282B" w:rsidP="0086608F">
      <w:pPr>
        <w:spacing w:after="0" w:line="240" w:lineRule="auto"/>
        <w:jc w:val="both"/>
        <w:rPr>
          <w:rFonts w:ascii="Times New Roman" w:hAnsi="Times New Roman" w:cs="Times New Roman"/>
          <w:sz w:val="28"/>
          <w:szCs w:val="28"/>
          <w:lang w:val="uk-UA"/>
        </w:rPr>
      </w:pPr>
      <w:r w:rsidRPr="00A5282B">
        <w:rPr>
          <w:rFonts w:ascii="Times New Roman" w:hAnsi="Times New Roman" w:cs="Times New Roman"/>
          <w:sz w:val="28"/>
          <w:szCs w:val="28"/>
          <w:lang w:val="uk-UA"/>
        </w:rPr>
        <w:t xml:space="preserve">        Сприяння розвитку громадянського суспільства з боку місцевих органів влади - це налагодження ефективної взаємодії місцевих органів виконавчої влади та органів місцевого самоврядування з інститутами громадянського суспільства, що повинна базуватися на партнерстві, взаємній зацікавленості у досягненні цілей, пов'язаних з процесом демократизації всіх сфер державного управління та суспільного життя, соціально-економічним та духовним розвитком, всебічним забезпеченням захисту прав і свобод людини та громадянина.</w:t>
      </w:r>
    </w:p>
    <w:p w:rsidR="00A5282B" w:rsidRPr="00A5282B" w:rsidRDefault="00A5282B" w:rsidP="0086608F">
      <w:pPr>
        <w:spacing w:after="0" w:line="240" w:lineRule="auto"/>
        <w:jc w:val="both"/>
        <w:rPr>
          <w:rFonts w:ascii="Times New Roman" w:hAnsi="Times New Roman" w:cs="Times New Roman"/>
          <w:sz w:val="28"/>
          <w:szCs w:val="28"/>
          <w:lang w:val="uk-UA"/>
        </w:rPr>
      </w:pPr>
      <w:r w:rsidRPr="00A5282B">
        <w:rPr>
          <w:rFonts w:ascii="Times New Roman" w:hAnsi="Times New Roman" w:cs="Times New Roman"/>
          <w:sz w:val="28"/>
          <w:szCs w:val="28"/>
          <w:lang w:val="uk-UA"/>
        </w:rPr>
        <w:t xml:space="preserve">     На сьогодні в районі зареєстровано 38 громадські організації різної спрямованості, з них 23 зареєстровані як юридичні особи, 15 легалізовані шляхом письмового  повідомлення, 11 благодійні організації та одне представництво Всеукраїнської обласної організації.      Представники об’єднань громадян входять до консультативно-дорадчих органів при районній державній адміністрації.</w:t>
      </w:r>
      <w:r w:rsidRPr="00A5282B">
        <w:rPr>
          <w:rFonts w:ascii="Times New Roman" w:hAnsi="Times New Roman" w:cs="Times New Roman"/>
          <w:sz w:val="28"/>
          <w:szCs w:val="28"/>
        </w:rPr>
        <w:t xml:space="preserve"> </w:t>
      </w:r>
    </w:p>
    <w:p w:rsidR="00A5282B" w:rsidRPr="00A5282B" w:rsidRDefault="00A5282B" w:rsidP="0086608F">
      <w:pPr>
        <w:spacing w:after="0" w:line="240" w:lineRule="auto"/>
        <w:jc w:val="both"/>
        <w:rPr>
          <w:rFonts w:ascii="Times New Roman" w:hAnsi="Times New Roman" w:cs="Times New Roman"/>
          <w:sz w:val="28"/>
          <w:szCs w:val="28"/>
          <w:lang w:val="uk-UA"/>
        </w:rPr>
      </w:pPr>
      <w:r w:rsidRPr="00A5282B">
        <w:rPr>
          <w:rFonts w:ascii="Times New Roman" w:hAnsi="Times New Roman" w:cs="Times New Roman"/>
          <w:sz w:val="28"/>
          <w:szCs w:val="28"/>
          <w:lang w:val="uk-UA"/>
        </w:rPr>
        <w:t xml:space="preserve">       Так, зокрема, п</w:t>
      </w:r>
      <w:r w:rsidRPr="00A5282B">
        <w:rPr>
          <w:rFonts w:ascii="Times New Roman" w:hAnsi="Times New Roman" w:cs="Times New Roman"/>
          <w:sz w:val="28"/>
          <w:szCs w:val="28"/>
        </w:rPr>
        <w:t xml:space="preserve">ри </w:t>
      </w:r>
      <w:r w:rsidRPr="00A5282B">
        <w:rPr>
          <w:rFonts w:ascii="Times New Roman" w:hAnsi="Times New Roman" w:cs="Times New Roman"/>
          <w:bCs/>
          <w:iCs/>
          <w:sz w:val="28"/>
          <w:szCs w:val="28"/>
        </w:rPr>
        <w:t>Недригайлівській районній державній адміністрації діє  громадська рада спрямована на вирішення проблемних та життєвоважливих питань розвитку району.</w:t>
      </w:r>
      <w:r w:rsidRPr="00A5282B">
        <w:rPr>
          <w:rFonts w:ascii="Times New Roman" w:hAnsi="Times New Roman" w:cs="Times New Roman"/>
          <w:sz w:val="28"/>
          <w:szCs w:val="28"/>
        </w:rPr>
        <w:t xml:space="preserve"> До складу громадської ради </w:t>
      </w:r>
      <w:proofErr w:type="gramStart"/>
      <w:r w:rsidRPr="00A5282B">
        <w:rPr>
          <w:rFonts w:ascii="Times New Roman" w:hAnsi="Times New Roman" w:cs="Times New Roman"/>
          <w:sz w:val="28"/>
          <w:szCs w:val="28"/>
        </w:rPr>
        <w:t>вв</w:t>
      </w:r>
      <w:proofErr w:type="gramEnd"/>
      <w:r w:rsidRPr="00A5282B">
        <w:rPr>
          <w:rFonts w:ascii="Times New Roman" w:hAnsi="Times New Roman" w:cs="Times New Roman"/>
          <w:sz w:val="28"/>
          <w:szCs w:val="28"/>
        </w:rPr>
        <w:t>ійшли 1</w:t>
      </w:r>
      <w:r w:rsidRPr="00A5282B">
        <w:rPr>
          <w:rFonts w:ascii="Times New Roman" w:hAnsi="Times New Roman" w:cs="Times New Roman"/>
          <w:sz w:val="28"/>
          <w:szCs w:val="28"/>
          <w:lang w:val="uk-UA"/>
        </w:rPr>
        <w:t>5</w:t>
      </w:r>
      <w:r w:rsidRPr="00A5282B">
        <w:rPr>
          <w:rFonts w:ascii="Times New Roman" w:hAnsi="Times New Roman" w:cs="Times New Roman"/>
          <w:sz w:val="28"/>
          <w:szCs w:val="28"/>
        </w:rPr>
        <w:t xml:space="preserve"> осіб – представників громадських організацій та райкомів профспілок.</w:t>
      </w:r>
      <w:r w:rsidRPr="00A5282B">
        <w:rPr>
          <w:rFonts w:ascii="Times New Roman" w:hAnsi="Times New Roman" w:cs="Times New Roman"/>
          <w:iCs/>
          <w:sz w:val="28"/>
          <w:szCs w:val="28"/>
        </w:rPr>
        <w:t xml:space="preserve"> Свої засідання громадська рада проводить по мі</w:t>
      </w:r>
      <w:proofErr w:type="gramStart"/>
      <w:r w:rsidRPr="00A5282B">
        <w:rPr>
          <w:rFonts w:ascii="Times New Roman" w:hAnsi="Times New Roman" w:cs="Times New Roman"/>
          <w:iCs/>
          <w:sz w:val="28"/>
          <w:szCs w:val="28"/>
        </w:rPr>
        <w:t>р</w:t>
      </w:r>
      <w:proofErr w:type="gramEnd"/>
      <w:r w:rsidRPr="00A5282B">
        <w:rPr>
          <w:rFonts w:ascii="Times New Roman" w:hAnsi="Times New Roman" w:cs="Times New Roman"/>
          <w:iCs/>
          <w:sz w:val="28"/>
          <w:szCs w:val="28"/>
        </w:rPr>
        <w:t>і надходження питань, але не рідше ніж  раз на квартал.</w:t>
      </w:r>
      <w:r w:rsidRPr="00A5282B">
        <w:rPr>
          <w:rFonts w:ascii="Times New Roman" w:hAnsi="Times New Roman" w:cs="Times New Roman"/>
          <w:bCs/>
          <w:iCs/>
          <w:sz w:val="28"/>
          <w:szCs w:val="28"/>
        </w:rPr>
        <w:t xml:space="preserve"> Представники громадської </w:t>
      </w:r>
      <w:proofErr w:type="gramStart"/>
      <w:r w:rsidRPr="00A5282B">
        <w:rPr>
          <w:rFonts w:ascii="Times New Roman" w:hAnsi="Times New Roman" w:cs="Times New Roman"/>
          <w:bCs/>
          <w:iCs/>
          <w:sz w:val="28"/>
          <w:szCs w:val="28"/>
        </w:rPr>
        <w:t>ради</w:t>
      </w:r>
      <w:proofErr w:type="gramEnd"/>
      <w:r w:rsidRPr="00A5282B">
        <w:rPr>
          <w:rFonts w:ascii="Times New Roman" w:hAnsi="Times New Roman" w:cs="Times New Roman"/>
          <w:bCs/>
          <w:iCs/>
          <w:sz w:val="28"/>
          <w:szCs w:val="28"/>
        </w:rPr>
        <w:t xml:space="preserve"> при  Недригайлівській райдержадміністрації  беруть активну участь   у громадських слуханнях з актуальних питань та в районних заходах присвячених тим чи іншим подіям.</w:t>
      </w:r>
      <w:r w:rsidRPr="00A5282B">
        <w:rPr>
          <w:rFonts w:ascii="Times New Roman" w:hAnsi="Times New Roman" w:cs="Times New Roman"/>
          <w:bCs/>
          <w:iCs/>
          <w:sz w:val="28"/>
          <w:szCs w:val="28"/>
          <w:lang w:val="uk-UA"/>
        </w:rPr>
        <w:t xml:space="preserve"> Протягом 2013 року таких засідань відбулося чотири.</w:t>
      </w:r>
      <w:r w:rsidRPr="00A5282B">
        <w:rPr>
          <w:rFonts w:ascii="Times New Roman" w:hAnsi="Times New Roman" w:cs="Times New Roman"/>
          <w:sz w:val="28"/>
          <w:szCs w:val="28"/>
          <w:lang w:val="uk-UA"/>
        </w:rPr>
        <w:t xml:space="preserve"> За результатами їх роботи приймаються рекомендації щодо вирішення відповідних актуальних питань державної та місцевої політики, соціально-економічного розвитку регіону.</w:t>
      </w:r>
      <w:r w:rsidRPr="00A5282B">
        <w:rPr>
          <w:rFonts w:ascii="Times New Roman" w:hAnsi="Times New Roman" w:cs="Times New Roman"/>
          <w:bCs/>
          <w:iCs/>
          <w:sz w:val="28"/>
          <w:szCs w:val="28"/>
          <w:lang w:val="uk-UA"/>
        </w:rPr>
        <w:t xml:space="preserve"> Також п</w:t>
      </w:r>
      <w:r w:rsidRPr="00A5282B">
        <w:rPr>
          <w:rFonts w:ascii="Times New Roman" w:hAnsi="Times New Roman" w:cs="Times New Roman"/>
          <w:sz w:val="28"/>
          <w:szCs w:val="28"/>
          <w:lang w:val="uk-UA"/>
        </w:rPr>
        <w:t xml:space="preserve">ри Недригайлівській районній державній адміністрації діє комісія сприяння додержанню законодавства про свободу совісті і релігійні організації та створена координаційна рада з питань взаємодії з громадськими організаціями учасників бойових дій на території інших держав. Ряд представників громадських організацій є депутатами районної ради.       </w:t>
      </w:r>
    </w:p>
    <w:p w:rsidR="00A5282B" w:rsidRPr="00A5282B" w:rsidRDefault="00A5282B" w:rsidP="0086608F">
      <w:pPr>
        <w:pStyle w:val="21"/>
        <w:spacing w:after="0"/>
        <w:ind w:right="-1" w:firstLine="540"/>
        <w:rPr>
          <w:szCs w:val="28"/>
        </w:rPr>
      </w:pPr>
      <w:r w:rsidRPr="00A5282B">
        <w:rPr>
          <w:szCs w:val="28"/>
        </w:rPr>
        <w:t xml:space="preserve"> Співпраця з інститутами громадянського суспільства здійснюється в районі за різними формами: участь у роботі консультативно-дорадчих органів, проведення громадських слухань, засідань за "круглим столом", консультації з актуальних питань державного управління та розвитку району, залучення до розробки нормативно-правових документів, заходах, що проводяться адміністрацією з нагоди відзначення державних свят і пам’ятних дат, підтримка та сприяння реалізації ініціатив громадськості, через електронні консультації, зокрема рубрики «Консультування  з громадськістю».</w:t>
      </w:r>
    </w:p>
    <w:p w:rsidR="00A5282B" w:rsidRPr="00A5282B" w:rsidRDefault="00A5282B" w:rsidP="00866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rPr>
      </w:pPr>
      <w:r w:rsidRPr="00A5282B">
        <w:rPr>
          <w:rFonts w:ascii="Times New Roman" w:hAnsi="Times New Roman" w:cs="Times New Roman"/>
          <w:sz w:val="28"/>
          <w:szCs w:val="28"/>
          <w:lang w:val="uk-UA"/>
        </w:rPr>
        <w:lastRenderedPageBreak/>
        <w:t xml:space="preserve">  Щ</w:t>
      </w:r>
      <w:r w:rsidRPr="00A5282B">
        <w:rPr>
          <w:rFonts w:ascii="Times New Roman" w:hAnsi="Times New Roman" w:cs="Times New Roman"/>
          <w:sz w:val="28"/>
          <w:szCs w:val="28"/>
        </w:rPr>
        <w:t>ороку склада</w:t>
      </w:r>
      <w:r w:rsidRPr="00A5282B">
        <w:rPr>
          <w:rFonts w:ascii="Times New Roman" w:hAnsi="Times New Roman" w:cs="Times New Roman"/>
          <w:sz w:val="28"/>
          <w:szCs w:val="28"/>
          <w:lang w:val="uk-UA"/>
        </w:rPr>
        <w:t xml:space="preserve">ється </w:t>
      </w:r>
      <w:r w:rsidRPr="00A5282B">
        <w:rPr>
          <w:rFonts w:ascii="Times New Roman" w:hAnsi="Times New Roman" w:cs="Times New Roman"/>
          <w:sz w:val="28"/>
          <w:szCs w:val="28"/>
        </w:rPr>
        <w:t xml:space="preserve"> орієнтовний  план проведення  консультацій з громадськістю</w:t>
      </w:r>
      <w:r w:rsidRPr="00A5282B">
        <w:rPr>
          <w:rFonts w:ascii="Times New Roman" w:hAnsi="Times New Roman" w:cs="Times New Roman"/>
          <w:sz w:val="28"/>
          <w:szCs w:val="28"/>
          <w:lang w:val="uk-UA"/>
        </w:rPr>
        <w:t xml:space="preserve"> </w:t>
      </w:r>
      <w:r w:rsidRPr="00A5282B">
        <w:rPr>
          <w:rFonts w:ascii="Times New Roman" w:hAnsi="Times New Roman" w:cs="Times New Roman"/>
          <w:sz w:val="28"/>
          <w:szCs w:val="28"/>
        </w:rPr>
        <w:t xml:space="preserve">з урахуванням основних завдань,  </w:t>
      </w:r>
      <w:r w:rsidRPr="00A5282B">
        <w:rPr>
          <w:rFonts w:ascii="Times New Roman" w:hAnsi="Times New Roman" w:cs="Times New Roman"/>
          <w:sz w:val="28"/>
          <w:szCs w:val="28"/>
          <w:lang w:val="uk-UA"/>
        </w:rPr>
        <w:t xml:space="preserve">передбачених </w:t>
      </w:r>
      <w:r w:rsidRPr="00A5282B">
        <w:rPr>
          <w:rFonts w:ascii="Times New Roman" w:hAnsi="Times New Roman" w:cs="Times New Roman"/>
          <w:sz w:val="28"/>
          <w:szCs w:val="28"/>
        </w:rPr>
        <w:t xml:space="preserve">програмою економічного і соціального розвитку  </w:t>
      </w:r>
      <w:r w:rsidRPr="00A5282B">
        <w:rPr>
          <w:rFonts w:ascii="Times New Roman" w:hAnsi="Times New Roman" w:cs="Times New Roman"/>
          <w:sz w:val="28"/>
          <w:szCs w:val="28"/>
          <w:lang w:val="uk-UA"/>
        </w:rPr>
        <w:t>району.</w:t>
      </w:r>
      <w:r w:rsidRPr="00A5282B">
        <w:rPr>
          <w:rFonts w:ascii="Times New Roman" w:hAnsi="Times New Roman" w:cs="Times New Roman"/>
          <w:sz w:val="28"/>
          <w:szCs w:val="28"/>
        </w:rPr>
        <w:t xml:space="preserve"> </w:t>
      </w:r>
      <w:r w:rsidRPr="00A5282B">
        <w:rPr>
          <w:rFonts w:ascii="Times New Roman" w:hAnsi="Times New Roman" w:cs="Times New Roman"/>
          <w:sz w:val="28"/>
          <w:szCs w:val="28"/>
          <w:lang w:val="uk-UA"/>
        </w:rPr>
        <w:t xml:space="preserve">   </w:t>
      </w:r>
      <w:bookmarkStart w:id="1" w:name="o45"/>
      <w:bookmarkEnd w:id="1"/>
      <w:r w:rsidRPr="00A5282B">
        <w:rPr>
          <w:rFonts w:ascii="Times New Roman" w:hAnsi="Times New Roman" w:cs="Times New Roman"/>
          <w:sz w:val="28"/>
          <w:szCs w:val="28"/>
        </w:rPr>
        <w:t xml:space="preserve">      </w:t>
      </w:r>
    </w:p>
    <w:p w:rsidR="00A5282B" w:rsidRPr="00A5282B" w:rsidRDefault="00A5282B" w:rsidP="00FC48A4">
      <w:pPr>
        <w:pStyle w:val="HTML"/>
        <w:jc w:val="both"/>
        <w:rPr>
          <w:rFonts w:ascii="Times New Roman" w:hAnsi="Times New Roman" w:cs="Times New Roman"/>
          <w:sz w:val="28"/>
          <w:szCs w:val="28"/>
          <w:lang w:val="uk-UA"/>
        </w:rPr>
      </w:pPr>
      <w:r w:rsidRPr="00A5282B">
        <w:rPr>
          <w:rFonts w:ascii="Times New Roman" w:hAnsi="Times New Roman" w:cs="Times New Roman"/>
          <w:sz w:val="28"/>
          <w:szCs w:val="28"/>
          <w:lang w:val="uk-UA"/>
        </w:rPr>
        <w:t xml:space="preserve">   Яскравий приклад участі громадськості району у формуванні державної та регіональної політики  є обговорення проекту Концепції реформування місцевого самоврядування та територіальної організації влади яке тривало з липня по листопад 2014 року. Дане обговорення відбулося в  трудових колективах району, сільських, селищних радах, на розширеному засіданні громадської ради при Недригайлівській райдержадміністрації, де були висловлені пропозиції та направлені до Сумської облдержадміністрації. </w:t>
      </w:r>
    </w:p>
    <w:p w:rsidR="00A5282B" w:rsidRPr="00A5282B" w:rsidRDefault="00A5282B" w:rsidP="0086608F">
      <w:pPr>
        <w:pStyle w:val="21"/>
        <w:spacing w:after="0"/>
        <w:ind w:right="-1" w:firstLine="567"/>
        <w:rPr>
          <w:szCs w:val="28"/>
        </w:rPr>
      </w:pPr>
      <w:r w:rsidRPr="00A5282B">
        <w:rPr>
          <w:szCs w:val="28"/>
        </w:rPr>
        <w:t xml:space="preserve">  До планів роботи Недригайлівської райдержадміністрації, виконавчих комітетів сільських і селищних рад систематично включаються питання взаємодії з інститутами громадянського суспільства. Щорічно голова райдержадміністрації, сільські і селищні голови звітують на сесіях перед громадськістю про виконання програм соціально-економічного розвитку відповідних територій. </w:t>
      </w:r>
    </w:p>
    <w:p w:rsidR="00A5282B" w:rsidRPr="00A5282B" w:rsidRDefault="00A5282B" w:rsidP="00F37E1A">
      <w:pPr>
        <w:pStyle w:val="a9"/>
        <w:spacing w:after="0" w:line="240" w:lineRule="auto"/>
        <w:ind w:right="-5" w:firstLine="540"/>
        <w:jc w:val="both"/>
        <w:rPr>
          <w:rFonts w:ascii="Times New Roman" w:hAnsi="Times New Roman" w:cs="Times New Roman"/>
          <w:sz w:val="28"/>
          <w:szCs w:val="28"/>
          <w:lang w:val="uk-UA"/>
        </w:rPr>
      </w:pPr>
      <w:r w:rsidRPr="00A5282B">
        <w:rPr>
          <w:rFonts w:ascii="Times New Roman" w:hAnsi="Times New Roman" w:cs="Times New Roman"/>
          <w:sz w:val="28"/>
          <w:szCs w:val="28"/>
          <w:lang w:val="uk-UA"/>
        </w:rPr>
        <w:t xml:space="preserve">Співпраця керівництва Недригайлівської райдержадміністрації та керівництва Недригайлівської районної ради з інститутами громадянського суспільства знаходиться на нормальному рівні, у стадії конструктивної співпраці та взаєморозуміння. </w:t>
      </w:r>
    </w:p>
    <w:p w:rsidR="00A5282B" w:rsidRPr="00A5282B" w:rsidRDefault="00A5282B" w:rsidP="00F37E1A">
      <w:pPr>
        <w:pStyle w:val="a9"/>
        <w:spacing w:after="0" w:line="240" w:lineRule="auto"/>
        <w:ind w:right="-5" w:firstLine="540"/>
        <w:jc w:val="both"/>
        <w:rPr>
          <w:rFonts w:ascii="Times New Roman" w:hAnsi="Times New Roman" w:cs="Times New Roman"/>
          <w:sz w:val="28"/>
          <w:szCs w:val="28"/>
          <w:lang w:val="uk-UA"/>
        </w:rPr>
      </w:pPr>
      <w:r w:rsidRPr="00A5282B">
        <w:rPr>
          <w:rFonts w:ascii="Times New Roman" w:hAnsi="Times New Roman" w:cs="Times New Roman"/>
          <w:sz w:val="28"/>
          <w:szCs w:val="28"/>
          <w:lang w:val="uk-UA"/>
        </w:rPr>
        <w:t xml:space="preserve">З метою підтримки громадських організацій та  на виконання їх статутних завдань з районного бюджету передбачено на 2013 рік кошти : Недригайлівська районна організація ветеранів війни – 10 тис. грн., Недригайлівська Спілка Афганістану – 5 тис.грн,. Недригайлівська районна організація інвалідів – 5 тис. грн. </w:t>
      </w:r>
    </w:p>
    <w:p w:rsidR="00A5282B" w:rsidRPr="00A5282B" w:rsidRDefault="00A5282B" w:rsidP="00F37E1A">
      <w:pPr>
        <w:pStyle w:val="a9"/>
        <w:spacing w:after="0" w:line="240" w:lineRule="auto"/>
        <w:ind w:right="-5" w:firstLine="540"/>
        <w:jc w:val="both"/>
        <w:rPr>
          <w:rFonts w:ascii="Times New Roman" w:hAnsi="Times New Roman" w:cs="Times New Roman"/>
          <w:sz w:val="28"/>
          <w:szCs w:val="28"/>
          <w:lang w:val="uk-UA"/>
        </w:rPr>
      </w:pPr>
      <w:r w:rsidRPr="00A5282B">
        <w:rPr>
          <w:rFonts w:ascii="Times New Roman" w:hAnsi="Times New Roman" w:cs="Times New Roman"/>
          <w:sz w:val="28"/>
          <w:szCs w:val="28"/>
          <w:lang w:val="uk-UA"/>
        </w:rPr>
        <w:t xml:space="preserve">Хоча формально кількість об'єднань громадян в районі зростає, більшість з них не проявляють активності, в основному вони є малочисельними і представлені в громадському житті їх керівниками. Громадська активність організацій є низькою, часто відірваною від суспільно-важливих процесів розвитку відповідних територій та вирішення актуальних проблем громад. </w:t>
      </w:r>
    </w:p>
    <w:p w:rsidR="00A5282B" w:rsidRPr="00A5282B" w:rsidRDefault="00A5282B" w:rsidP="00F37E1A">
      <w:pPr>
        <w:pStyle w:val="a9"/>
        <w:spacing w:after="0" w:line="240" w:lineRule="auto"/>
        <w:ind w:right="-5" w:firstLine="540"/>
        <w:jc w:val="both"/>
        <w:rPr>
          <w:rFonts w:ascii="Times New Roman" w:hAnsi="Times New Roman" w:cs="Times New Roman"/>
          <w:sz w:val="28"/>
          <w:szCs w:val="28"/>
        </w:rPr>
      </w:pPr>
      <w:r w:rsidRPr="00A5282B">
        <w:rPr>
          <w:rFonts w:ascii="Times New Roman" w:hAnsi="Times New Roman" w:cs="Times New Roman"/>
          <w:sz w:val="28"/>
          <w:szCs w:val="28"/>
        </w:rPr>
        <w:t>На сьогодні можна виділити лише декілька громадських організацій, які беруть активну участь в громадському житті району. Це зокрема громадські організації, які представлені в громадській раді при Недригайлівській райдержадміністрації. За останній час в населених пунктах району за ініціативи громадськості села чи селища створені громадські організації, які займаються вод</w:t>
      </w:r>
      <w:proofErr w:type="gramStart"/>
      <w:r w:rsidRPr="00A5282B">
        <w:rPr>
          <w:rFonts w:ascii="Times New Roman" w:hAnsi="Times New Roman" w:cs="Times New Roman"/>
          <w:sz w:val="28"/>
          <w:szCs w:val="28"/>
        </w:rPr>
        <w:t>о-</w:t>
      </w:r>
      <w:proofErr w:type="gramEnd"/>
      <w:r w:rsidRPr="00A5282B">
        <w:rPr>
          <w:rFonts w:ascii="Times New Roman" w:hAnsi="Times New Roman" w:cs="Times New Roman"/>
          <w:sz w:val="28"/>
          <w:szCs w:val="28"/>
        </w:rPr>
        <w:t xml:space="preserve"> та газо- забезпеченням на відповідних територіях та показали позитивний результат безпосередньої участі громадськості в реалізації регіональної політики.</w:t>
      </w:r>
    </w:p>
    <w:p w:rsidR="00A5282B" w:rsidRPr="00A5282B" w:rsidRDefault="00A5282B" w:rsidP="00F37E1A">
      <w:pPr>
        <w:pStyle w:val="21"/>
        <w:spacing w:after="0"/>
        <w:ind w:firstLine="283"/>
        <w:rPr>
          <w:szCs w:val="28"/>
        </w:rPr>
      </w:pPr>
    </w:p>
    <w:p w:rsidR="00A5282B" w:rsidRPr="00A5282B" w:rsidRDefault="00A5282B" w:rsidP="00F37E1A">
      <w:pPr>
        <w:pStyle w:val="21"/>
        <w:spacing w:after="0"/>
        <w:ind w:firstLine="283"/>
        <w:rPr>
          <w:szCs w:val="28"/>
          <w:u w:val="single"/>
        </w:rPr>
      </w:pPr>
      <w:r w:rsidRPr="00A5282B">
        <w:rPr>
          <w:szCs w:val="28"/>
          <w:u w:val="single"/>
        </w:rPr>
        <w:t>Інформаційний простір.</w:t>
      </w:r>
    </w:p>
    <w:p w:rsidR="00A5282B" w:rsidRPr="00A5282B" w:rsidRDefault="00A5282B" w:rsidP="00F37E1A">
      <w:pPr>
        <w:pStyle w:val="a9"/>
        <w:spacing w:after="0" w:line="240" w:lineRule="auto"/>
        <w:ind w:right="-1" w:firstLine="540"/>
        <w:jc w:val="both"/>
        <w:rPr>
          <w:rFonts w:ascii="Times New Roman" w:hAnsi="Times New Roman" w:cs="Times New Roman"/>
          <w:sz w:val="28"/>
          <w:szCs w:val="28"/>
        </w:rPr>
      </w:pPr>
      <w:r w:rsidRPr="00A5282B">
        <w:rPr>
          <w:rFonts w:ascii="Times New Roman" w:hAnsi="Times New Roman" w:cs="Times New Roman"/>
          <w:sz w:val="28"/>
          <w:szCs w:val="28"/>
        </w:rPr>
        <w:t xml:space="preserve">На території району регулярно </w:t>
      </w:r>
      <w:proofErr w:type="gramStart"/>
      <w:r w:rsidRPr="00A5282B">
        <w:rPr>
          <w:rFonts w:ascii="Times New Roman" w:hAnsi="Times New Roman" w:cs="Times New Roman"/>
          <w:sz w:val="28"/>
          <w:szCs w:val="28"/>
        </w:rPr>
        <w:t>видається</w:t>
      </w:r>
      <w:proofErr w:type="gramEnd"/>
      <w:r w:rsidRPr="00A5282B">
        <w:rPr>
          <w:rFonts w:ascii="Times New Roman" w:hAnsi="Times New Roman" w:cs="Times New Roman"/>
          <w:sz w:val="28"/>
          <w:szCs w:val="28"/>
        </w:rPr>
        <w:t xml:space="preserve"> 2 друкованих видання: районна газета “Голос Посулля” ( головний редактор Скрипченко І.В.) та приватна газета “Недригайлів сьогодні” (головний редактор Даниленко Є.О.).  Також </w:t>
      </w:r>
      <w:r w:rsidRPr="00A5282B">
        <w:rPr>
          <w:rFonts w:ascii="Times New Roman" w:hAnsi="Times New Roman" w:cs="Times New Roman"/>
          <w:sz w:val="28"/>
          <w:szCs w:val="28"/>
        </w:rPr>
        <w:lastRenderedPageBreak/>
        <w:t>діють сайти Недригайлівської райдержадміністрації</w:t>
      </w:r>
      <w:proofErr w:type="gramStart"/>
      <w:r w:rsidRPr="00A5282B">
        <w:rPr>
          <w:rFonts w:ascii="Times New Roman" w:hAnsi="Times New Roman" w:cs="Times New Roman"/>
          <w:sz w:val="28"/>
          <w:szCs w:val="28"/>
        </w:rPr>
        <w:t xml:space="preserve"> ,</w:t>
      </w:r>
      <w:proofErr w:type="gramEnd"/>
      <w:r w:rsidRPr="00A5282B">
        <w:rPr>
          <w:rFonts w:ascii="Times New Roman" w:hAnsi="Times New Roman" w:cs="Times New Roman"/>
          <w:sz w:val="28"/>
          <w:szCs w:val="28"/>
        </w:rPr>
        <w:t xml:space="preserve"> районної газети “Голос Посулля” та приватної газети “Недригайлів сьогодні”.</w:t>
      </w:r>
    </w:p>
    <w:p w:rsidR="00A5282B" w:rsidRPr="00A5282B" w:rsidRDefault="00A5282B" w:rsidP="00F37E1A">
      <w:pPr>
        <w:pStyle w:val="a9"/>
        <w:spacing w:after="0" w:line="240" w:lineRule="auto"/>
        <w:ind w:right="-1" w:firstLine="540"/>
        <w:jc w:val="both"/>
        <w:rPr>
          <w:rFonts w:ascii="Times New Roman" w:hAnsi="Times New Roman" w:cs="Times New Roman"/>
          <w:sz w:val="28"/>
          <w:szCs w:val="28"/>
        </w:rPr>
      </w:pPr>
      <w:r w:rsidRPr="00A5282B">
        <w:rPr>
          <w:rFonts w:ascii="Times New Roman" w:hAnsi="Times New Roman" w:cs="Times New Roman"/>
          <w:sz w:val="28"/>
          <w:szCs w:val="28"/>
        </w:rPr>
        <w:t>На території деяких сільіьких рад району діють місцеві друковані видання, зокрема газети «Коровинський вісник» - засновник Коровинська сільська рада, «Вільшанські ві</w:t>
      </w:r>
      <w:proofErr w:type="gramStart"/>
      <w:r w:rsidRPr="00A5282B">
        <w:rPr>
          <w:rFonts w:ascii="Times New Roman" w:hAnsi="Times New Roman" w:cs="Times New Roman"/>
          <w:sz w:val="28"/>
          <w:szCs w:val="28"/>
        </w:rPr>
        <w:t>ст</w:t>
      </w:r>
      <w:proofErr w:type="gramEnd"/>
      <w:r w:rsidRPr="00A5282B">
        <w:rPr>
          <w:rFonts w:ascii="Times New Roman" w:hAnsi="Times New Roman" w:cs="Times New Roman"/>
          <w:sz w:val="28"/>
          <w:szCs w:val="28"/>
        </w:rPr>
        <w:t>і» - Вільшанська сільська рада, та «Червонослобідська новина» - Червонослобідська сільська рада. Дані друковані видання  виходять раз в квартал.</w:t>
      </w:r>
    </w:p>
    <w:p w:rsidR="00A5282B" w:rsidRPr="00A5282B" w:rsidRDefault="00A5282B" w:rsidP="00F37E1A">
      <w:pPr>
        <w:pStyle w:val="a9"/>
        <w:spacing w:after="0" w:line="240" w:lineRule="auto"/>
        <w:ind w:right="-1" w:firstLine="540"/>
        <w:jc w:val="both"/>
        <w:rPr>
          <w:rFonts w:ascii="Times New Roman" w:hAnsi="Times New Roman" w:cs="Times New Roman"/>
          <w:sz w:val="28"/>
          <w:szCs w:val="28"/>
        </w:rPr>
      </w:pPr>
      <w:r w:rsidRPr="00A5282B">
        <w:rPr>
          <w:rFonts w:ascii="Times New Roman" w:hAnsi="Times New Roman" w:cs="Times New Roman"/>
          <w:sz w:val="28"/>
          <w:szCs w:val="28"/>
        </w:rPr>
        <w:t xml:space="preserve">Районна газета “Голос Посулля” тісно співпрацює  з Недригайлівською районною державною адміністрацією та Недригайлівською районною радою. На сторінках газети регулярно висвітлюються події суспільно-політичного життя району, виступи керівників органів виконавчої влади та </w:t>
      </w:r>
      <w:proofErr w:type="gramStart"/>
      <w:r w:rsidRPr="00A5282B">
        <w:rPr>
          <w:rFonts w:ascii="Times New Roman" w:hAnsi="Times New Roman" w:cs="Times New Roman"/>
          <w:sz w:val="28"/>
          <w:szCs w:val="28"/>
        </w:rPr>
        <w:t>м</w:t>
      </w:r>
      <w:proofErr w:type="gramEnd"/>
      <w:r w:rsidRPr="00A5282B">
        <w:rPr>
          <w:rFonts w:ascii="Times New Roman" w:hAnsi="Times New Roman" w:cs="Times New Roman"/>
          <w:sz w:val="28"/>
          <w:szCs w:val="28"/>
        </w:rPr>
        <w:t xml:space="preserve">ісцевого самоврядування. </w:t>
      </w:r>
      <w:proofErr w:type="gramStart"/>
      <w:r w:rsidRPr="00A5282B">
        <w:rPr>
          <w:rFonts w:ascii="Times New Roman" w:hAnsi="Times New Roman" w:cs="Times New Roman"/>
          <w:sz w:val="28"/>
          <w:szCs w:val="28"/>
        </w:rPr>
        <w:t>Дан</w:t>
      </w:r>
      <w:proofErr w:type="gramEnd"/>
      <w:r w:rsidRPr="00A5282B">
        <w:rPr>
          <w:rFonts w:ascii="Times New Roman" w:hAnsi="Times New Roman" w:cs="Times New Roman"/>
          <w:sz w:val="28"/>
          <w:szCs w:val="28"/>
        </w:rPr>
        <w:t>і матеріали висвітлюються через рубрики: “В райдержадміністрації”,  “У районній раді”, “Самоврядування”, “Діалоги з владою”</w:t>
      </w:r>
      <w:proofErr w:type="gramStart"/>
      <w:r w:rsidRPr="00A5282B">
        <w:rPr>
          <w:rFonts w:ascii="Times New Roman" w:hAnsi="Times New Roman" w:cs="Times New Roman"/>
          <w:sz w:val="28"/>
          <w:szCs w:val="28"/>
        </w:rPr>
        <w:t xml:space="preserve"> ,</w:t>
      </w:r>
      <w:proofErr w:type="gramEnd"/>
      <w:r w:rsidRPr="00A5282B">
        <w:rPr>
          <w:rFonts w:ascii="Times New Roman" w:hAnsi="Times New Roman" w:cs="Times New Roman"/>
          <w:sz w:val="28"/>
          <w:szCs w:val="28"/>
        </w:rPr>
        <w:t xml:space="preserve"> “Від першої особи”, з травня місяця започаткована рубрика «Соціальні ініціативи Президента», де висвітлюються основні напрямки соціальної політики.</w:t>
      </w:r>
    </w:p>
    <w:p w:rsidR="00466A33" w:rsidRDefault="00DC236E" w:rsidP="00F37E1A">
      <w:pPr>
        <w:pStyle w:val="a9"/>
        <w:spacing w:after="0"/>
        <w:ind w:right="-1" w:firstLine="540"/>
        <w:jc w:val="center"/>
        <w:rPr>
          <w:rFonts w:ascii="Times New Roman" w:hAnsi="Times New Roman" w:cs="Times New Roman"/>
          <w:b/>
          <w:sz w:val="28"/>
          <w:szCs w:val="28"/>
          <w:lang w:val="uk-UA"/>
        </w:rPr>
      </w:pPr>
      <w:r w:rsidRPr="00DC236E">
        <w:rPr>
          <w:rFonts w:ascii="Times New Roman" w:hAnsi="Times New Roman" w:cs="Times New Roman"/>
          <w:b/>
          <w:sz w:val="28"/>
          <w:szCs w:val="28"/>
          <w:lang w:val="uk-UA"/>
        </w:rPr>
        <w:t>21. Техногенна безпека</w:t>
      </w:r>
    </w:p>
    <w:p w:rsidR="00DC236E" w:rsidRPr="00DC236E" w:rsidRDefault="00DC236E" w:rsidP="00DC236E">
      <w:pPr>
        <w:spacing w:after="0"/>
        <w:ind w:firstLine="708"/>
        <w:jc w:val="both"/>
        <w:rPr>
          <w:rFonts w:ascii="Times New Roman" w:hAnsi="Times New Roman"/>
          <w:sz w:val="28"/>
          <w:szCs w:val="28"/>
          <w:lang w:val="uk-UA"/>
        </w:rPr>
      </w:pPr>
      <w:r w:rsidRPr="00DC236E">
        <w:rPr>
          <w:rFonts w:ascii="Times New Roman" w:hAnsi="Times New Roman"/>
          <w:sz w:val="28"/>
          <w:szCs w:val="28"/>
        </w:rPr>
        <w:t xml:space="preserve">Техногéнна безпéка — стан захищеності населення, території, об'єктів </w:t>
      </w:r>
      <w:proofErr w:type="gramStart"/>
      <w:r w:rsidRPr="00DC236E">
        <w:rPr>
          <w:rFonts w:ascii="Times New Roman" w:hAnsi="Times New Roman"/>
          <w:sz w:val="28"/>
          <w:szCs w:val="28"/>
        </w:rPr>
        <w:t>в</w:t>
      </w:r>
      <w:proofErr w:type="gramEnd"/>
      <w:r w:rsidRPr="00DC236E">
        <w:rPr>
          <w:rFonts w:ascii="Times New Roman" w:hAnsi="Times New Roman"/>
          <w:sz w:val="28"/>
          <w:szCs w:val="28"/>
        </w:rPr>
        <w:t>ід негативних наслідків надзвичайних ситуацій техногенного характеру.</w:t>
      </w:r>
    </w:p>
    <w:p w:rsidR="00DC236E" w:rsidRPr="00DC236E" w:rsidRDefault="00DC236E" w:rsidP="00DC236E">
      <w:pPr>
        <w:spacing w:after="0"/>
        <w:ind w:firstLine="708"/>
        <w:jc w:val="both"/>
        <w:rPr>
          <w:rFonts w:ascii="Times New Roman" w:hAnsi="Times New Roman"/>
          <w:sz w:val="28"/>
          <w:szCs w:val="28"/>
          <w:lang w:val="uk-UA"/>
        </w:rPr>
      </w:pPr>
      <w:r w:rsidRPr="00DC236E">
        <w:rPr>
          <w:rFonts w:ascii="Times New Roman" w:hAnsi="Times New Roman"/>
          <w:iCs/>
          <w:sz w:val="28"/>
          <w:szCs w:val="28"/>
          <w:lang w:val="uk-UA"/>
        </w:rPr>
        <w:t xml:space="preserve">З метою запобігання найбільш вірогідним надзвичайним ситуаціям на території Недригайлівського району, було розроблено та затверджено “План першочергових заходів та робіт Недригайлівської райдержадміністрації щодо запобігання надзвичайним ситуаціям техногенного та природного характеру на потенційно небезпечних об'єктах з найбільшими ризиками їх виникнення на 2013 рік”. </w:t>
      </w:r>
      <w:r w:rsidRPr="00DC236E">
        <w:rPr>
          <w:rFonts w:ascii="Times New Roman" w:hAnsi="Times New Roman"/>
          <w:sz w:val="28"/>
          <w:szCs w:val="28"/>
          <w:lang w:val="uk-UA"/>
        </w:rPr>
        <w:t>На території району знаходиться 5 потенційно небезпечних об'єктів (ПНО) перелік яких затверджено рішенням районної комісії з питань ТЕБ та НС протокол № 7 від 24.10.2013 р. Керівниками потенційно небезпечних об’єктів постійно проводилися заходи щодо зменшення ризику виникнення надзвичайних ситуацій, протягом 2013 року надзвичайних ситуацій не зареєстровано.</w:t>
      </w:r>
    </w:p>
    <w:p w:rsidR="00DC236E" w:rsidRPr="00DC236E" w:rsidRDefault="00DC236E" w:rsidP="00DC236E">
      <w:pPr>
        <w:spacing w:after="0"/>
        <w:ind w:firstLine="720"/>
        <w:jc w:val="both"/>
        <w:rPr>
          <w:rFonts w:ascii="Times New Roman" w:hAnsi="Times New Roman"/>
          <w:bCs/>
          <w:sz w:val="28"/>
          <w:szCs w:val="28"/>
          <w:lang w:val="uk-UA"/>
        </w:rPr>
      </w:pPr>
      <w:r w:rsidRPr="00DC236E">
        <w:rPr>
          <w:rFonts w:ascii="Times New Roman" w:hAnsi="Times New Roman"/>
          <w:bCs/>
          <w:sz w:val="28"/>
          <w:szCs w:val="28"/>
        </w:rPr>
        <w:t xml:space="preserve">Робота  районної комісії з питань техногенного-екологічної безпеки </w:t>
      </w:r>
      <w:r w:rsidRPr="00DC236E">
        <w:rPr>
          <w:rFonts w:ascii="Times New Roman" w:hAnsi="Times New Roman"/>
          <w:bCs/>
          <w:sz w:val="28"/>
          <w:szCs w:val="28"/>
          <w:lang w:val="uk-UA"/>
        </w:rPr>
        <w:t>та</w:t>
      </w:r>
      <w:r w:rsidRPr="00DC236E">
        <w:rPr>
          <w:rFonts w:ascii="Times New Roman" w:hAnsi="Times New Roman"/>
          <w:bCs/>
          <w:sz w:val="28"/>
          <w:szCs w:val="28"/>
        </w:rPr>
        <w:t xml:space="preserve"> надзвичайних ситуацій була спрямована на попередження надзвичайних ситуацій, координацію дій </w:t>
      </w:r>
      <w:proofErr w:type="gramStart"/>
      <w:r w:rsidRPr="00DC236E">
        <w:rPr>
          <w:rFonts w:ascii="Times New Roman" w:hAnsi="Times New Roman"/>
          <w:bCs/>
          <w:sz w:val="28"/>
          <w:szCs w:val="28"/>
        </w:rPr>
        <w:t>п</w:t>
      </w:r>
      <w:proofErr w:type="gramEnd"/>
      <w:r w:rsidRPr="00DC236E">
        <w:rPr>
          <w:rFonts w:ascii="Times New Roman" w:hAnsi="Times New Roman"/>
          <w:bCs/>
          <w:sz w:val="28"/>
          <w:szCs w:val="28"/>
        </w:rPr>
        <w:t>ід час  реагування на них.</w:t>
      </w:r>
      <w:r w:rsidRPr="00DC236E">
        <w:rPr>
          <w:rFonts w:ascii="Times New Roman" w:hAnsi="Times New Roman"/>
          <w:bCs/>
          <w:sz w:val="28"/>
          <w:szCs w:val="28"/>
          <w:lang w:val="uk-UA"/>
        </w:rPr>
        <w:t xml:space="preserve"> Протягом року було проведено 8 планових засідань та одне позачергове засідання на яких розглядалися питання:</w:t>
      </w:r>
    </w:p>
    <w:p w:rsidR="00DC236E" w:rsidRPr="00DC236E" w:rsidRDefault="00DC236E" w:rsidP="00DC236E">
      <w:pPr>
        <w:spacing w:after="0"/>
        <w:ind w:firstLine="720"/>
        <w:jc w:val="both"/>
        <w:rPr>
          <w:rFonts w:ascii="Times New Roman" w:hAnsi="Times New Roman"/>
          <w:bCs/>
          <w:sz w:val="28"/>
          <w:szCs w:val="28"/>
          <w:lang w:val="uk-UA"/>
        </w:rPr>
      </w:pPr>
      <w:r w:rsidRPr="00DC236E">
        <w:rPr>
          <w:rFonts w:ascii="Times New Roman" w:hAnsi="Times New Roman"/>
          <w:bCs/>
          <w:sz w:val="28"/>
          <w:szCs w:val="28"/>
          <w:lang w:val="uk-UA"/>
        </w:rPr>
        <w:t>- про забезпечення безаварійного пропуску льодоходу, повені та дощових паводків у весняний період;</w:t>
      </w:r>
    </w:p>
    <w:p w:rsidR="00DC236E" w:rsidRPr="00DC236E" w:rsidRDefault="00DC236E" w:rsidP="00DC236E">
      <w:pPr>
        <w:spacing w:after="0"/>
        <w:ind w:firstLine="720"/>
        <w:jc w:val="both"/>
        <w:rPr>
          <w:rFonts w:ascii="Times New Roman" w:hAnsi="Times New Roman"/>
          <w:bCs/>
          <w:sz w:val="28"/>
          <w:szCs w:val="28"/>
          <w:lang w:val="uk-UA"/>
        </w:rPr>
      </w:pPr>
      <w:r w:rsidRPr="00DC236E">
        <w:rPr>
          <w:rFonts w:ascii="Times New Roman" w:hAnsi="Times New Roman"/>
          <w:bCs/>
          <w:sz w:val="28"/>
          <w:szCs w:val="28"/>
          <w:lang w:val="uk-UA"/>
        </w:rPr>
        <w:t>- про посилення протипожежної охорони лісів району та підготовки до пожежонебезпечного періоду;</w:t>
      </w:r>
    </w:p>
    <w:p w:rsidR="00DC236E" w:rsidRPr="00DC236E" w:rsidRDefault="00DC236E" w:rsidP="00DC236E">
      <w:pPr>
        <w:spacing w:after="0"/>
        <w:ind w:firstLine="720"/>
        <w:jc w:val="both"/>
        <w:rPr>
          <w:rFonts w:ascii="Times New Roman" w:hAnsi="Times New Roman"/>
          <w:bCs/>
          <w:sz w:val="28"/>
          <w:szCs w:val="28"/>
          <w:lang w:val="uk-UA"/>
        </w:rPr>
      </w:pPr>
      <w:r w:rsidRPr="00DC236E">
        <w:rPr>
          <w:rFonts w:ascii="Times New Roman" w:hAnsi="Times New Roman"/>
          <w:bCs/>
          <w:sz w:val="28"/>
          <w:szCs w:val="28"/>
          <w:lang w:val="uk-UA"/>
        </w:rPr>
        <w:t>- про заходи щодо недопущення отруєнь населення дикорослими грибами;</w:t>
      </w:r>
    </w:p>
    <w:p w:rsidR="00DC236E" w:rsidRPr="00DC236E" w:rsidRDefault="00DC236E" w:rsidP="00DC236E">
      <w:pPr>
        <w:spacing w:after="0"/>
        <w:ind w:firstLine="720"/>
        <w:jc w:val="both"/>
        <w:rPr>
          <w:rFonts w:ascii="Times New Roman" w:hAnsi="Times New Roman"/>
          <w:bCs/>
          <w:sz w:val="28"/>
          <w:szCs w:val="28"/>
          <w:lang w:val="uk-UA"/>
        </w:rPr>
      </w:pPr>
      <w:r w:rsidRPr="00DC236E">
        <w:rPr>
          <w:rFonts w:ascii="Times New Roman" w:hAnsi="Times New Roman"/>
          <w:bCs/>
          <w:sz w:val="28"/>
          <w:szCs w:val="28"/>
          <w:lang w:val="uk-UA"/>
        </w:rPr>
        <w:lastRenderedPageBreak/>
        <w:t>- про стан підготовки підприємств, установ та організацій району до дій в осінньо-зимовий період 2013-2014 років;</w:t>
      </w:r>
    </w:p>
    <w:p w:rsidR="00DC236E" w:rsidRPr="00DC236E" w:rsidRDefault="00DC236E" w:rsidP="00DC236E">
      <w:pPr>
        <w:spacing w:after="0"/>
        <w:ind w:firstLine="720"/>
        <w:jc w:val="both"/>
        <w:rPr>
          <w:rFonts w:ascii="Times New Roman" w:hAnsi="Times New Roman"/>
          <w:bCs/>
          <w:sz w:val="28"/>
          <w:szCs w:val="28"/>
          <w:lang w:val="uk-UA"/>
        </w:rPr>
      </w:pPr>
      <w:r w:rsidRPr="00DC236E">
        <w:rPr>
          <w:rFonts w:ascii="Times New Roman" w:hAnsi="Times New Roman"/>
          <w:bCs/>
          <w:sz w:val="28"/>
          <w:szCs w:val="28"/>
          <w:lang w:val="uk-UA"/>
        </w:rPr>
        <w:t>- про проведення профілактичних заходів масових інфекційних захворювань в осінньо-зимовий період.</w:t>
      </w:r>
    </w:p>
    <w:p w:rsidR="00DC236E" w:rsidRPr="00DC236E" w:rsidRDefault="00DC236E" w:rsidP="00DC236E">
      <w:pPr>
        <w:spacing w:after="0"/>
        <w:ind w:firstLine="720"/>
        <w:jc w:val="both"/>
        <w:rPr>
          <w:rFonts w:ascii="Times New Roman" w:hAnsi="Times New Roman"/>
          <w:bCs/>
          <w:sz w:val="28"/>
          <w:szCs w:val="28"/>
          <w:lang w:val="uk-UA"/>
        </w:rPr>
      </w:pPr>
      <w:r w:rsidRPr="00DC236E">
        <w:rPr>
          <w:rFonts w:ascii="Times New Roman" w:hAnsi="Times New Roman"/>
          <w:bCs/>
          <w:sz w:val="28"/>
          <w:szCs w:val="28"/>
          <w:lang w:val="uk-UA"/>
        </w:rPr>
        <w:t>Протягом 2013 року на території району зареєстровано 94 надзвичайні події: 35 пожеж і загорань (матеріальні втрати склали понад 641  тис. грн.) у вогні та диму  загинуло 4 людини, на автошляхах району трапилося 51</w:t>
      </w:r>
      <w:r w:rsidRPr="00DC236E">
        <w:rPr>
          <w:rFonts w:ascii="Times New Roman" w:hAnsi="Times New Roman"/>
          <w:bCs/>
          <w:color w:val="FF0000"/>
          <w:sz w:val="28"/>
          <w:szCs w:val="28"/>
          <w:lang w:val="uk-UA"/>
        </w:rPr>
        <w:t xml:space="preserve"> </w:t>
      </w:r>
      <w:r w:rsidRPr="00DC236E">
        <w:rPr>
          <w:rFonts w:ascii="Times New Roman" w:hAnsi="Times New Roman"/>
          <w:bCs/>
          <w:sz w:val="28"/>
          <w:szCs w:val="28"/>
          <w:lang w:val="uk-UA"/>
        </w:rPr>
        <w:t>ДТП з яких у 16 ДТП постраждало 22 та загинуло 4</w:t>
      </w:r>
      <w:r w:rsidRPr="00DC236E">
        <w:rPr>
          <w:rFonts w:ascii="Times New Roman" w:hAnsi="Times New Roman"/>
          <w:bCs/>
          <w:color w:val="FF0000"/>
          <w:sz w:val="28"/>
          <w:szCs w:val="28"/>
          <w:lang w:val="uk-UA"/>
        </w:rPr>
        <w:t xml:space="preserve"> </w:t>
      </w:r>
      <w:r w:rsidRPr="00DC236E">
        <w:rPr>
          <w:rFonts w:ascii="Times New Roman" w:hAnsi="Times New Roman"/>
          <w:bCs/>
          <w:sz w:val="28"/>
          <w:szCs w:val="28"/>
          <w:lang w:val="uk-UA"/>
        </w:rPr>
        <w:t xml:space="preserve">особи,  виявлено та знешкоджено 6 од. застарілих боєприпасів часів ВВВ, </w:t>
      </w:r>
      <w:r w:rsidRPr="00DC236E">
        <w:rPr>
          <w:rFonts w:ascii="Times New Roman" w:hAnsi="Times New Roman"/>
          <w:sz w:val="28"/>
          <w:szCs w:val="28"/>
          <w:lang w:val="uk-UA"/>
        </w:rPr>
        <w:t>на водних об</w:t>
      </w:r>
      <w:r w:rsidRPr="00DC236E">
        <w:rPr>
          <w:rFonts w:ascii="Times New Roman" w:hAnsi="Times New Roman"/>
          <w:sz w:val="28"/>
          <w:szCs w:val="28"/>
        </w:rPr>
        <w:t>'</w:t>
      </w:r>
      <w:r w:rsidRPr="00DC236E">
        <w:rPr>
          <w:rFonts w:ascii="Times New Roman" w:hAnsi="Times New Roman"/>
          <w:sz w:val="28"/>
          <w:szCs w:val="28"/>
          <w:lang w:val="uk-UA"/>
        </w:rPr>
        <w:t>єктах району загинуло 2 рибалки, причина – недотримання правил поведінки на водних об</w:t>
      </w:r>
      <w:r w:rsidRPr="00DC236E">
        <w:rPr>
          <w:rFonts w:ascii="Times New Roman" w:hAnsi="Times New Roman"/>
          <w:sz w:val="28"/>
          <w:szCs w:val="28"/>
        </w:rPr>
        <w:t>'</w:t>
      </w:r>
      <w:r w:rsidRPr="00DC236E">
        <w:rPr>
          <w:rFonts w:ascii="Times New Roman" w:hAnsi="Times New Roman"/>
          <w:sz w:val="28"/>
          <w:szCs w:val="28"/>
          <w:lang w:val="uk-UA"/>
        </w:rPr>
        <w:t>єктах</w:t>
      </w:r>
      <w:r w:rsidRPr="00DC236E">
        <w:rPr>
          <w:rFonts w:ascii="Times New Roman" w:hAnsi="Times New Roman"/>
          <w:bCs/>
          <w:sz w:val="28"/>
          <w:szCs w:val="28"/>
          <w:lang w:val="uk-UA"/>
        </w:rPr>
        <w:t>.</w:t>
      </w:r>
    </w:p>
    <w:p w:rsidR="00DC236E" w:rsidRPr="00DC236E" w:rsidRDefault="00DC236E" w:rsidP="00DC236E">
      <w:pPr>
        <w:spacing w:after="0"/>
        <w:ind w:firstLine="720"/>
        <w:jc w:val="both"/>
        <w:rPr>
          <w:rFonts w:ascii="Times New Roman" w:hAnsi="Times New Roman"/>
          <w:bCs/>
          <w:sz w:val="28"/>
          <w:szCs w:val="28"/>
          <w:lang w:val="uk-UA"/>
        </w:rPr>
      </w:pPr>
      <w:r w:rsidRPr="00DC236E">
        <w:rPr>
          <w:rFonts w:ascii="Times New Roman" w:hAnsi="Times New Roman"/>
          <w:bCs/>
          <w:noProof/>
          <w:sz w:val="28"/>
          <w:szCs w:val="28"/>
        </w:rPr>
        <w:drawing>
          <wp:inline distT="0" distB="0" distL="0" distR="0">
            <wp:extent cx="5314950" cy="3019425"/>
            <wp:effectExtent l="0" t="0" r="0" b="0"/>
            <wp:docPr id="6" name="Объект 3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DC236E" w:rsidRPr="00DC236E" w:rsidRDefault="00DC236E" w:rsidP="00DC236E">
      <w:pPr>
        <w:spacing w:after="0"/>
        <w:ind w:firstLine="720"/>
        <w:jc w:val="both"/>
        <w:rPr>
          <w:rFonts w:ascii="Times New Roman" w:hAnsi="Times New Roman"/>
          <w:bCs/>
          <w:sz w:val="28"/>
          <w:szCs w:val="28"/>
          <w:lang w:val="uk-UA"/>
        </w:rPr>
      </w:pPr>
      <w:r w:rsidRPr="00DC236E">
        <w:rPr>
          <w:rFonts w:ascii="Times New Roman" w:hAnsi="Times New Roman"/>
          <w:bCs/>
          <w:noProof/>
          <w:sz w:val="28"/>
          <w:szCs w:val="28"/>
        </w:rPr>
        <w:drawing>
          <wp:inline distT="0" distB="0" distL="0" distR="0">
            <wp:extent cx="5934075" cy="3000375"/>
            <wp:effectExtent l="0" t="0" r="0" b="0"/>
            <wp:docPr id="5" name="Объект 3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1561D1" w:rsidRDefault="001561D1" w:rsidP="00DC236E">
      <w:pPr>
        <w:spacing w:after="0" w:line="240" w:lineRule="auto"/>
        <w:jc w:val="center"/>
        <w:rPr>
          <w:rFonts w:ascii="Times New Roman" w:eastAsia="Times New Roman" w:hAnsi="Times New Roman" w:cs="Times New Roman"/>
          <w:b/>
          <w:sz w:val="28"/>
          <w:szCs w:val="28"/>
          <w:lang w:val="uk-UA"/>
        </w:rPr>
      </w:pPr>
    </w:p>
    <w:p w:rsidR="00DC236E" w:rsidRPr="00DC236E" w:rsidRDefault="006C09A9" w:rsidP="00DC236E">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22. Забезпечення законності та правопорядку.</w:t>
      </w:r>
    </w:p>
    <w:p w:rsidR="0074074F" w:rsidRPr="00A5282B" w:rsidRDefault="0074074F" w:rsidP="003617B4">
      <w:pPr>
        <w:spacing w:after="0" w:line="240" w:lineRule="auto"/>
        <w:jc w:val="both"/>
        <w:rPr>
          <w:rFonts w:ascii="Times New Roman" w:eastAsia="Times New Roman" w:hAnsi="Times New Roman" w:cs="Times New Roman"/>
          <w:b/>
          <w:sz w:val="28"/>
          <w:szCs w:val="28"/>
          <w:lang w:val="uk-UA"/>
        </w:rPr>
      </w:pPr>
    </w:p>
    <w:p w:rsidR="003617B4" w:rsidRPr="003617B4" w:rsidRDefault="003617B4" w:rsidP="003617B4">
      <w:pPr>
        <w:spacing w:after="0" w:line="240" w:lineRule="auto"/>
        <w:ind w:firstLine="708"/>
        <w:jc w:val="both"/>
        <w:outlineLvl w:val="0"/>
        <w:rPr>
          <w:rFonts w:ascii="Times New Roman" w:eastAsia="Times New Roman" w:hAnsi="Times New Roman" w:cs="Times New Roman"/>
          <w:sz w:val="28"/>
          <w:szCs w:val="28"/>
          <w:lang w:val="uk-UA"/>
        </w:rPr>
      </w:pPr>
      <w:r w:rsidRPr="003617B4">
        <w:rPr>
          <w:rFonts w:ascii="Times New Roman" w:eastAsia="MS Mincho" w:hAnsi="Times New Roman" w:cs="Times New Roman"/>
          <w:sz w:val="28"/>
          <w:szCs w:val="28"/>
          <w:lang w:val="uk-UA"/>
        </w:rPr>
        <w:t>Протягом  2013 року діяльність Недригайлівського РВ УМВС України в Сумській області, управлінь, відділів Недригайлівської районної державної адміністрації, виконкомів сільських, селищних рад  була спрямована на виконання заходів  щодо попередження та розкриття злочинів, забезпечення правопорядку в громадських місцях, захисту прав і свобод, законних інтересів громадян, попередження дорожньо-транспортних пригод.</w:t>
      </w:r>
    </w:p>
    <w:p w:rsidR="003617B4" w:rsidRPr="003617B4" w:rsidRDefault="003617B4" w:rsidP="003617B4">
      <w:pPr>
        <w:pStyle w:val="23"/>
        <w:spacing w:after="0" w:line="240" w:lineRule="auto"/>
        <w:ind w:right="-5"/>
        <w:jc w:val="both"/>
        <w:rPr>
          <w:rFonts w:ascii="Times New Roman" w:eastAsia="Times New Roman" w:hAnsi="Times New Roman" w:cs="Times New Roman"/>
          <w:sz w:val="28"/>
          <w:szCs w:val="28"/>
        </w:rPr>
      </w:pPr>
      <w:r w:rsidRPr="00A5282B">
        <w:rPr>
          <w:rFonts w:ascii="Times New Roman" w:eastAsia="Times New Roman" w:hAnsi="Times New Roman" w:cs="Times New Roman"/>
          <w:sz w:val="28"/>
          <w:szCs w:val="28"/>
          <w:lang w:val="uk-UA"/>
        </w:rPr>
        <w:t xml:space="preserve">         </w:t>
      </w:r>
      <w:r w:rsidRPr="003617B4">
        <w:rPr>
          <w:rFonts w:ascii="Times New Roman" w:eastAsia="Times New Roman" w:hAnsi="Times New Roman" w:cs="Times New Roman"/>
          <w:sz w:val="28"/>
          <w:szCs w:val="28"/>
        </w:rPr>
        <w:t xml:space="preserve">Аналіз стану протидії злочинності в Недригайлівському районі за 2013 </w:t>
      </w:r>
      <w:proofErr w:type="gramStart"/>
      <w:r w:rsidRPr="003617B4">
        <w:rPr>
          <w:rFonts w:ascii="Times New Roman" w:eastAsia="Times New Roman" w:hAnsi="Times New Roman" w:cs="Times New Roman"/>
          <w:sz w:val="28"/>
          <w:szCs w:val="28"/>
        </w:rPr>
        <w:t>р</w:t>
      </w:r>
      <w:proofErr w:type="gramEnd"/>
      <w:r w:rsidRPr="003617B4">
        <w:rPr>
          <w:rFonts w:ascii="Times New Roman" w:eastAsia="Times New Roman" w:hAnsi="Times New Roman" w:cs="Times New Roman"/>
          <w:sz w:val="28"/>
          <w:szCs w:val="28"/>
        </w:rPr>
        <w:t xml:space="preserve">ік  свідчить про  не значне збільшення кількості зареєстрованих кримінальних правопорушень. </w:t>
      </w:r>
    </w:p>
    <w:p w:rsidR="003617B4" w:rsidRPr="003617B4" w:rsidRDefault="003617B4" w:rsidP="006C09A9">
      <w:pPr>
        <w:pStyle w:val="ab"/>
        <w:spacing w:after="0" w:line="240" w:lineRule="auto"/>
        <w:ind w:left="0" w:firstLine="709"/>
        <w:jc w:val="both"/>
        <w:rPr>
          <w:rFonts w:ascii="Times New Roman" w:eastAsia="Times New Roman" w:hAnsi="Times New Roman" w:cs="Times New Roman"/>
          <w:sz w:val="28"/>
          <w:szCs w:val="28"/>
        </w:rPr>
      </w:pPr>
      <w:r w:rsidRPr="003617B4">
        <w:rPr>
          <w:rFonts w:ascii="Times New Roman" w:eastAsia="Times New Roman" w:hAnsi="Times New Roman" w:cs="Times New Roman"/>
          <w:sz w:val="28"/>
          <w:szCs w:val="28"/>
        </w:rPr>
        <w:t xml:space="preserve">За зазначений період   на території Недригайлівського району зареєстровано 240 заяв та повідомлень про кримінальні правопорушення, які внесено до Єдиного реєстру досудових розслідувань. </w:t>
      </w:r>
      <w:proofErr w:type="gramStart"/>
      <w:r w:rsidRPr="003617B4">
        <w:rPr>
          <w:rFonts w:ascii="Times New Roman" w:eastAsia="Times New Roman" w:hAnsi="Times New Roman" w:cs="Times New Roman"/>
          <w:sz w:val="28"/>
          <w:szCs w:val="28"/>
        </w:rPr>
        <w:t>З</w:t>
      </w:r>
      <w:proofErr w:type="gramEnd"/>
      <w:r w:rsidRPr="003617B4">
        <w:rPr>
          <w:rFonts w:ascii="Times New Roman" w:eastAsia="Times New Roman" w:hAnsi="Times New Roman" w:cs="Times New Roman"/>
          <w:sz w:val="28"/>
          <w:szCs w:val="28"/>
        </w:rPr>
        <w:t xml:space="preserve"> них, особу встановлено по 102 кримінальних правопорушеннях. Відсоток розкриття  кримінальних правопорушень становить 62,5%.  Спільними зусиллями не допущено скоєння </w:t>
      </w:r>
      <w:proofErr w:type="gramStart"/>
      <w:r w:rsidRPr="003617B4">
        <w:rPr>
          <w:rFonts w:ascii="Times New Roman" w:eastAsia="Times New Roman" w:hAnsi="Times New Roman" w:cs="Times New Roman"/>
          <w:sz w:val="28"/>
          <w:szCs w:val="28"/>
        </w:rPr>
        <w:t>таких</w:t>
      </w:r>
      <w:proofErr w:type="gramEnd"/>
      <w:r w:rsidRPr="003617B4">
        <w:rPr>
          <w:rFonts w:ascii="Times New Roman" w:eastAsia="Times New Roman" w:hAnsi="Times New Roman" w:cs="Times New Roman"/>
          <w:sz w:val="28"/>
          <w:szCs w:val="28"/>
        </w:rPr>
        <w:t xml:space="preserve"> тяжких злочинів, як  розбої, вимагання та зґвалтування. Працівниками </w:t>
      </w:r>
      <w:proofErr w:type="gramStart"/>
      <w:r w:rsidRPr="003617B4">
        <w:rPr>
          <w:rFonts w:ascii="Times New Roman" w:eastAsia="Times New Roman" w:hAnsi="Times New Roman" w:cs="Times New Roman"/>
          <w:sz w:val="28"/>
          <w:szCs w:val="28"/>
        </w:rPr>
        <w:t>районного</w:t>
      </w:r>
      <w:proofErr w:type="gramEnd"/>
      <w:r w:rsidRPr="003617B4">
        <w:rPr>
          <w:rFonts w:ascii="Times New Roman" w:eastAsia="Times New Roman" w:hAnsi="Times New Roman" w:cs="Times New Roman"/>
          <w:sz w:val="28"/>
          <w:szCs w:val="28"/>
        </w:rPr>
        <w:t xml:space="preserve"> відділу міліції розкрито: 47 крадіжок, 2 шахрайства, 3 хуліганства, виявлено 5 фактів незаконного обігу наркотиків. </w:t>
      </w:r>
    </w:p>
    <w:p w:rsidR="003617B4" w:rsidRPr="003617B4" w:rsidRDefault="003617B4" w:rsidP="003617B4">
      <w:pPr>
        <w:spacing w:after="0" w:line="240" w:lineRule="auto"/>
        <w:ind w:firstLine="708"/>
        <w:jc w:val="both"/>
        <w:rPr>
          <w:rFonts w:ascii="Times New Roman" w:eastAsia="MS Mincho" w:hAnsi="Times New Roman" w:cs="Times New Roman"/>
          <w:sz w:val="28"/>
          <w:szCs w:val="28"/>
          <w:lang w:val="uk-UA"/>
        </w:rPr>
      </w:pPr>
      <w:r w:rsidRPr="003617B4">
        <w:rPr>
          <w:rFonts w:ascii="Times New Roman" w:eastAsia="MS Mincho" w:hAnsi="Times New Roman" w:cs="Times New Roman"/>
          <w:sz w:val="28"/>
          <w:szCs w:val="28"/>
          <w:lang w:val="uk-UA"/>
        </w:rPr>
        <w:t xml:space="preserve">Завдяки тісній співпраці районного відділу УМВС України в Сумській області, управлінь, відділів </w:t>
      </w:r>
      <w:r w:rsidRPr="003617B4">
        <w:rPr>
          <w:rFonts w:ascii="Times New Roman" w:eastAsia="Times New Roman" w:hAnsi="Times New Roman" w:cs="Times New Roman"/>
          <w:sz w:val="28"/>
          <w:szCs w:val="28"/>
          <w:lang w:val="uk-UA"/>
        </w:rPr>
        <w:t>Недригайлівської</w:t>
      </w:r>
      <w:r w:rsidRPr="003617B4">
        <w:rPr>
          <w:rFonts w:ascii="Times New Roman" w:eastAsia="MS Mincho" w:hAnsi="Times New Roman" w:cs="Times New Roman"/>
          <w:sz w:val="28"/>
          <w:szCs w:val="28"/>
          <w:lang w:val="uk-UA"/>
        </w:rPr>
        <w:t xml:space="preserve"> районної державної адміністрації, виконкомів сільських і селищних рад, проведення відпрацювань розважальних закладів, своєчасного реагування на заяви та повідомлення громадян значно зменшилося кількість злочинів скоєних  в громадських місцях, на вулицях,  групою осіб.</w:t>
      </w:r>
    </w:p>
    <w:p w:rsidR="003617B4" w:rsidRPr="003617B4" w:rsidRDefault="003617B4" w:rsidP="003617B4">
      <w:pPr>
        <w:spacing w:after="0" w:line="240" w:lineRule="auto"/>
        <w:ind w:firstLine="708"/>
        <w:jc w:val="both"/>
        <w:rPr>
          <w:rFonts w:ascii="Times New Roman" w:eastAsia="Times New Roman" w:hAnsi="Times New Roman" w:cs="Times New Roman"/>
          <w:sz w:val="28"/>
          <w:szCs w:val="28"/>
          <w:lang w:val="uk-UA"/>
        </w:rPr>
      </w:pPr>
      <w:r w:rsidRPr="003617B4">
        <w:rPr>
          <w:rFonts w:ascii="Times New Roman" w:eastAsia="Times New Roman" w:hAnsi="Times New Roman" w:cs="Times New Roman"/>
          <w:bCs/>
          <w:sz w:val="28"/>
          <w:szCs w:val="28"/>
          <w:lang w:val="uk-UA"/>
        </w:rPr>
        <w:t>Робота відділення ДАІ Недригайлівського РВ УМВС України в Сумській області була направлена на зменшення кількості дорожньо-транспортних пригод, створення умов, що сприяють забезпеченню комфортного та безпечного руху транспортних засобів та пішоходів. Посадовим особам дорожніх організацій направлено 8 приписів на усунення недоліків щодо утримання автодоріг на території району та видано 45 вимог. Протягом 2013 року зареєстровано  51 дорожньо-транспортна пригода,      з них  16 ДТП з потерпілими, в яких 22 особи отримали тілесні ушкодження,   4 - загинули.</w:t>
      </w:r>
    </w:p>
    <w:p w:rsidR="00DA5F3A" w:rsidRPr="00DA5F3A" w:rsidRDefault="003617B4" w:rsidP="002D7155">
      <w:pPr>
        <w:spacing w:after="0" w:line="240" w:lineRule="auto"/>
        <w:ind w:firstLine="708"/>
        <w:jc w:val="both"/>
        <w:rPr>
          <w:rFonts w:ascii="Times New Roman" w:hAnsi="Times New Roman" w:cs="Times New Roman"/>
          <w:b/>
          <w:sz w:val="28"/>
          <w:szCs w:val="28"/>
          <w:lang w:val="uk-UA"/>
        </w:rPr>
      </w:pPr>
      <w:r w:rsidRPr="003617B4">
        <w:rPr>
          <w:rFonts w:ascii="Times New Roman" w:eastAsia="Times New Roman" w:hAnsi="Times New Roman" w:cs="Times New Roman"/>
          <w:sz w:val="28"/>
          <w:szCs w:val="28"/>
          <w:lang w:val="uk-UA"/>
        </w:rPr>
        <w:t>В подальшому робота</w:t>
      </w:r>
      <w:r w:rsidRPr="003617B4">
        <w:rPr>
          <w:rFonts w:ascii="Times New Roman" w:eastAsia="MS Mincho" w:hAnsi="Times New Roman" w:cs="Times New Roman"/>
          <w:sz w:val="28"/>
          <w:szCs w:val="28"/>
          <w:lang w:val="uk-UA"/>
        </w:rPr>
        <w:t xml:space="preserve"> Недригайлівського РВ УМВС України в Сумській області, управлінь, відділів Недригайлівської районної державної адміністрації, виконкомів сільських, селищних рад  буде спрямована на утвердження верховенства Закону,  захисту і спокою громадян району.</w:t>
      </w:r>
    </w:p>
    <w:sectPr w:rsidR="00DA5F3A" w:rsidRPr="00DA5F3A" w:rsidSect="007C1A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9D7"/>
    <w:multiLevelType w:val="hybridMultilevel"/>
    <w:tmpl w:val="5D6EAE8E"/>
    <w:lvl w:ilvl="0" w:tplc="09FA02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3B3180"/>
    <w:multiLevelType w:val="hybridMultilevel"/>
    <w:tmpl w:val="B1164F24"/>
    <w:lvl w:ilvl="0" w:tplc="D0721EB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B368C8"/>
    <w:multiLevelType w:val="hybridMultilevel"/>
    <w:tmpl w:val="99A00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65134"/>
    <w:multiLevelType w:val="hybridMultilevel"/>
    <w:tmpl w:val="96966740"/>
    <w:lvl w:ilvl="0" w:tplc="74461E6C">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3ACD7E6E"/>
    <w:multiLevelType w:val="hybridMultilevel"/>
    <w:tmpl w:val="F99432A2"/>
    <w:lvl w:ilvl="0" w:tplc="4F6A03C4">
      <w:start w:val="1"/>
      <w:numFmt w:val="decimal"/>
      <w:lvlText w:val="%1."/>
      <w:lvlJc w:val="left"/>
      <w:pPr>
        <w:ind w:left="540" w:hanging="360"/>
      </w:pPr>
      <w:rPr>
        <w:rFonts w:cs="Times New Roman" w:hint="default"/>
        <w:u w:val="none"/>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5">
    <w:nsid w:val="7F3E2FB1"/>
    <w:multiLevelType w:val="hybridMultilevel"/>
    <w:tmpl w:val="C8D8A992"/>
    <w:lvl w:ilvl="0" w:tplc="B0228D6C">
      <w:start w:val="1"/>
      <w:numFmt w:val="decimal"/>
      <w:lvlText w:val="%1."/>
      <w:lvlJc w:val="left"/>
      <w:pPr>
        <w:ind w:left="50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CD4"/>
    <w:rsid w:val="00004CC9"/>
    <w:rsid w:val="000208F9"/>
    <w:rsid w:val="00033AC8"/>
    <w:rsid w:val="00036BF8"/>
    <w:rsid w:val="00056E28"/>
    <w:rsid w:val="00064771"/>
    <w:rsid w:val="000705D1"/>
    <w:rsid w:val="00082171"/>
    <w:rsid w:val="00094D2D"/>
    <w:rsid w:val="000A6B93"/>
    <w:rsid w:val="000B10F0"/>
    <w:rsid w:val="000C2542"/>
    <w:rsid w:val="000F307C"/>
    <w:rsid w:val="001043F9"/>
    <w:rsid w:val="00104CD4"/>
    <w:rsid w:val="001100B7"/>
    <w:rsid w:val="00130636"/>
    <w:rsid w:val="00154101"/>
    <w:rsid w:val="001561D1"/>
    <w:rsid w:val="001D5C78"/>
    <w:rsid w:val="001E133D"/>
    <w:rsid w:val="001E200D"/>
    <w:rsid w:val="001E780D"/>
    <w:rsid w:val="00204B7D"/>
    <w:rsid w:val="002111B7"/>
    <w:rsid w:val="00265540"/>
    <w:rsid w:val="0028107E"/>
    <w:rsid w:val="002D7155"/>
    <w:rsid w:val="002E33E0"/>
    <w:rsid w:val="002E6CA2"/>
    <w:rsid w:val="002F4FD5"/>
    <w:rsid w:val="002F6B59"/>
    <w:rsid w:val="0030699D"/>
    <w:rsid w:val="0033532E"/>
    <w:rsid w:val="00337F50"/>
    <w:rsid w:val="003617B4"/>
    <w:rsid w:val="003678B9"/>
    <w:rsid w:val="00377E90"/>
    <w:rsid w:val="003839E2"/>
    <w:rsid w:val="003F37D6"/>
    <w:rsid w:val="003F489E"/>
    <w:rsid w:val="00402E4F"/>
    <w:rsid w:val="0040397E"/>
    <w:rsid w:val="00413235"/>
    <w:rsid w:val="00422120"/>
    <w:rsid w:val="00426B75"/>
    <w:rsid w:val="00443AE6"/>
    <w:rsid w:val="0045169D"/>
    <w:rsid w:val="00456082"/>
    <w:rsid w:val="0046622C"/>
    <w:rsid w:val="00466A33"/>
    <w:rsid w:val="00466FD6"/>
    <w:rsid w:val="004B6FBE"/>
    <w:rsid w:val="004F5A98"/>
    <w:rsid w:val="005206D4"/>
    <w:rsid w:val="00524760"/>
    <w:rsid w:val="00530E3E"/>
    <w:rsid w:val="00551916"/>
    <w:rsid w:val="00583EDA"/>
    <w:rsid w:val="005879D6"/>
    <w:rsid w:val="005A3749"/>
    <w:rsid w:val="005A7A61"/>
    <w:rsid w:val="005D18FB"/>
    <w:rsid w:val="005D6770"/>
    <w:rsid w:val="0060193C"/>
    <w:rsid w:val="006057B6"/>
    <w:rsid w:val="006541BC"/>
    <w:rsid w:val="0065543C"/>
    <w:rsid w:val="006569E1"/>
    <w:rsid w:val="00683B81"/>
    <w:rsid w:val="006955E7"/>
    <w:rsid w:val="006C09A9"/>
    <w:rsid w:val="007025AA"/>
    <w:rsid w:val="00712F05"/>
    <w:rsid w:val="00717CF1"/>
    <w:rsid w:val="00731B99"/>
    <w:rsid w:val="0074074F"/>
    <w:rsid w:val="00774414"/>
    <w:rsid w:val="00782DB3"/>
    <w:rsid w:val="00787593"/>
    <w:rsid w:val="00794D42"/>
    <w:rsid w:val="0079534E"/>
    <w:rsid w:val="00797364"/>
    <w:rsid w:val="007A2392"/>
    <w:rsid w:val="007A3406"/>
    <w:rsid w:val="007C1A6E"/>
    <w:rsid w:val="007F41B9"/>
    <w:rsid w:val="00810726"/>
    <w:rsid w:val="008223B2"/>
    <w:rsid w:val="008317FF"/>
    <w:rsid w:val="0086608F"/>
    <w:rsid w:val="00883E85"/>
    <w:rsid w:val="00885519"/>
    <w:rsid w:val="00886D46"/>
    <w:rsid w:val="00886FFA"/>
    <w:rsid w:val="008A0140"/>
    <w:rsid w:val="008A52B4"/>
    <w:rsid w:val="008C636C"/>
    <w:rsid w:val="008E1913"/>
    <w:rsid w:val="00915E96"/>
    <w:rsid w:val="009233E1"/>
    <w:rsid w:val="009345DE"/>
    <w:rsid w:val="009714FD"/>
    <w:rsid w:val="00973230"/>
    <w:rsid w:val="0098704B"/>
    <w:rsid w:val="0098746D"/>
    <w:rsid w:val="00995261"/>
    <w:rsid w:val="00A5282B"/>
    <w:rsid w:val="00A6088C"/>
    <w:rsid w:val="00A651AD"/>
    <w:rsid w:val="00A85020"/>
    <w:rsid w:val="00A8742C"/>
    <w:rsid w:val="00B001A1"/>
    <w:rsid w:val="00B52B4B"/>
    <w:rsid w:val="00B5562F"/>
    <w:rsid w:val="00B73C7A"/>
    <w:rsid w:val="00B85F0B"/>
    <w:rsid w:val="00BB1C27"/>
    <w:rsid w:val="00BB4364"/>
    <w:rsid w:val="00BD74AC"/>
    <w:rsid w:val="00BE1A84"/>
    <w:rsid w:val="00BE3ACF"/>
    <w:rsid w:val="00BF2593"/>
    <w:rsid w:val="00C03A70"/>
    <w:rsid w:val="00C516C2"/>
    <w:rsid w:val="00C5736E"/>
    <w:rsid w:val="00C725D0"/>
    <w:rsid w:val="00C862FF"/>
    <w:rsid w:val="00CE06BE"/>
    <w:rsid w:val="00CF0D2F"/>
    <w:rsid w:val="00CF4E9E"/>
    <w:rsid w:val="00D15719"/>
    <w:rsid w:val="00D30F1E"/>
    <w:rsid w:val="00D36CD8"/>
    <w:rsid w:val="00D84C38"/>
    <w:rsid w:val="00D86880"/>
    <w:rsid w:val="00D97470"/>
    <w:rsid w:val="00DA5F3A"/>
    <w:rsid w:val="00DC167D"/>
    <w:rsid w:val="00DC236E"/>
    <w:rsid w:val="00DD49FD"/>
    <w:rsid w:val="00DF3EAD"/>
    <w:rsid w:val="00E2357A"/>
    <w:rsid w:val="00E5700C"/>
    <w:rsid w:val="00E61C47"/>
    <w:rsid w:val="00EB2AAF"/>
    <w:rsid w:val="00ED2664"/>
    <w:rsid w:val="00ED27AF"/>
    <w:rsid w:val="00EF06FC"/>
    <w:rsid w:val="00F24FDE"/>
    <w:rsid w:val="00F25EAC"/>
    <w:rsid w:val="00F27D87"/>
    <w:rsid w:val="00F37E1A"/>
    <w:rsid w:val="00F7180C"/>
    <w:rsid w:val="00F84AEF"/>
    <w:rsid w:val="00FA138B"/>
    <w:rsid w:val="00FC3EE5"/>
    <w:rsid w:val="00FC48A4"/>
    <w:rsid w:val="00FD038F"/>
    <w:rsid w:val="00FD2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9345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130636"/>
    <w:pPr>
      <w:keepNext/>
      <w:spacing w:after="0" w:line="240" w:lineRule="auto"/>
      <w:ind w:firstLine="720"/>
      <w:jc w:val="both"/>
      <w:outlineLvl w:val="3"/>
    </w:pPr>
    <w:rPr>
      <w:rFonts w:ascii="Times New Roman" w:eastAsia="Calibri" w:hAnsi="Times New Roman" w:cs="Times New Roman"/>
      <w:b/>
      <w:color w:val="000000"/>
      <w:sz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5C78"/>
    <w:pPr>
      <w:ind w:left="720"/>
      <w:contextualSpacing/>
    </w:pPr>
  </w:style>
  <w:style w:type="character" w:customStyle="1" w:styleId="40">
    <w:name w:val="Заголовок 4 Знак"/>
    <w:basedOn w:val="a0"/>
    <w:link w:val="4"/>
    <w:rsid w:val="00130636"/>
    <w:rPr>
      <w:rFonts w:ascii="Times New Roman" w:eastAsia="Calibri" w:hAnsi="Times New Roman" w:cs="Times New Roman"/>
      <w:b/>
      <w:color w:val="000000"/>
      <w:sz w:val="28"/>
      <w:lang w:val="uk-UA" w:eastAsia="en-US"/>
    </w:rPr>
  </w:style>
  <w:style w:type="paragraph" w:styleId="21">
    <w:name w:val="Body Text Indent 2"/>
    <w:basedOn w:val="a"/>
    <w:link w:val="22"/>
    <w:semiHidden/>
    <w:rsid w:val="00130636"/>
    <w:pPr>
      <w:spacing w:line="240" w:lineRule="auto"/>
      <w:ind w:firstLine="709"/>
      <w:jc w:val="both"/>
    </w:pPr>
    <w:rPr>
      <w:rFonts w:ascii="Times New Roman" w:eastAsia="Calibri" w:hAnsi="Times New Roman" w:cs="Times New Roman"/>
      <w:sz w:val="28"/>
      <w:lang w:val="uk-UA" w:eastAsia="en-US"/>
    </w:rPr>
  </w:style>
  <w:style w:type="character" w:customStyle="1" w:styleId="22">
    <w:name w:val="Основной текст с отступом 2 Знак"/>
    <w:basedOn w:val="a0"/>
    <w:link w:val="21"/>
    <w:semiHidden/>
    <w:rsid w:val="00130636"/>
    <w:rPr>
      <w:rFonts w:ascii="Times New Roman" w:eastAsia="Calibri" w:hAnsi="Times New Roman" w:cs="Times New Roman"/>
      <w:sz w:val="28"/>
      <w:lang w:val="uk-UA" w:eastAsia="en-US"/>
    </w:rPr>
  </w:style>
  <w:style w:type="paragraph" w:styleId="3">
    <w:name w:val="Body Text Indent 3"/>
    <w:basedOn w:val="a"/>
    <w:link w:val="30"/>
    <w:semiHidden/>
    <w:rsid w:val="00130636"/>
    <w:pPr>
      <w:ind w:firstLine="900"/>
      <w:jc w:val="both"/>
    </w:pPr>
    <w:rPr>
      <w:rFonts w:ascii="Times New Roman" w:eastAsia="Times New Roman" w:hAnsi="Times New Roman" w:cs="Times New Roman"/>
      <w:sz w:val="28"/>
      <w:lang w:val="uk-UA"/>
    </w:rPr>
  </w:style>
  <w:style w:type="character" w:customStyle="1" w:styleId="30">
    <w:name w:val="Основной текст с отступом 3 Знак"/>
    <w:basedOn w:val="a0"/>
    <w:link w:val="3"/>
    <w:semiHidden/>
    <w:rsid w:val="00130636"/>
    <w:rPr>
      <w:rFonts w:ascii="Times New Roman" w:eastAsia="Times New Roman" w:hAnsi="Times New Roman" w:cs="Times New Roman"/>
      <w:sz w:val="28"/>
      <w:lang w:val="uk-UA"/>
    </w:rPr>
  </w:style>
  <w:style w:type="paragraph" w:styleId="a4">
    <w:name w:val="Balloon Text"/>
    <w:basedOn w:val="a"/>
    <w:link w:val="a5"/>
    <w:uiPriority w:val="99"/>
    <w:semiHidden/>
    <w:unhideWhenUsed/>
    <w:rsid w:val="0013063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0636"/>
    <w:rPr>
      <w:rFonts w:ascii="Tahoma" w:hAnsi="Tahoma" w:cs="Tahoma"/>
      <w:sz w:val="16"/>
      <w:szCs w:val="16"/>
    </w:rPr>
  </w:style>
  <w:style w:type="paragraph" w:customStyle="1" w:styleId="a6">
    <w:name w:val="Знак Знак Знак Знак Знак Знак Знак Знак"/>
    <w:basedOn w:val="a"/>
    <w:rsid w:val="00422120"/>
    <w:pPr>
      <w:spacing w:after="0" w:line="240" w:lineRule="auto"/>
    </w:pPr>
    <w:rPr>
      <w:rFonts w:ascii="Verdana" w:eastAsia="Times New Roman" w:hAnsi="Verdana" w:cs="Verdana"/>
      <w:sz w:val="20"/>
      <w:szCs w:val="20"/>
      <w:lang w:val="en-US" w:eastAsia="en-US"/>
    </w:rPr>
  </w:style>
  <w:style w:type="paragraph" w:styleId="a7">
    <w:name w:val="No Spacing"/>
    <w:uiPriority w:val="99"/>
    <w:qFormat/>
    <w:rsid w:val="00DA5F3A"/>
    <w:pPr>
      <w:spacing w:after="0" w:line="240" w:lineRule="auto"/>
    </w:pPr>
    <w:rPr>
      <w:rFonts w:eastAsiaTheme="minorHAnsi"/>
      <w:lang w:eastAsia="en-US"/>
    </w:rPr>
  </w:style>
  <w:style w:type="table" w:styleId="a8">
    <w:name w:val="Table Grid"/>
    <w:basedOn w:val="a1"/>
    <w:uiPriority w:val="59"/>
    <w:rsid w:val="00DA5F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w:basedOn w:val="a"/>
    <w:link w:val="aa"/>
    <w:uiPriority w:val="99"/>
    <w:unhideWhenUsed/>
    <w:rsid w:val="00426B75"/>
    <w:pPr>
      <w:spacing w:after="120"/>
    </w:pPr>
  </w:style>
  <w:style w:type="character" w:customStyle="1" w:styleId="aa">
    <w:name w:val="Основной текст Знак"/>
    <w:basedOn w:val="a0"/>
    <w:link w:val="a9"/>
    <w:uiPriority w:val="99"/>
    <w:rsid w:val="00426B75"/>
  </w:style>
  <w:style w:type="paragraph" w:customStyle="1" w:styleId="210">
    <w:name w:val="Основной текст 21"/>
    <w:basedOn w:val="a"/>
    <w:rsid w:val="007A3406"/>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customStyle="1" w:styleId="214">
    <w:name w:val="Основной текст 2 + 14 пт"/>
    <w:aliases w:val="По ширине,Первая строка:"/>
    <w:basedOn w:val="23"/>
    <w:rsid w:val="007A3406"/>
    <w:pPr>
      <w:suppressAutoHyphens/>
      <w:ind w:firstLine="851"/>
      <w:jc w:val="both"/>
    </w:pPr>
    <w:rPr>
      <w:rFonts w:ascii="Times New Roman" w:eastAsia="Times New Roman" w:hAnsi="Times New Roman" w:cs="Times New Roman"/>
      <w:bCs/>
      <w:sz w:val="28"/>
      <w:szCs w:val="28"/>
      <w:lang w:val="uk-UA" w:eastAsia="ar-SA"/>
    </w:rPr>
  </w:style>
  <w:style w:type="paragraph" w:styleId="23">
    <w:name w:val="Body Text 2"/>
    <w:basedOn w:val="a"/>
    <w:link w:val="24"/>
    <w:uiPriority w:val="99"/>
    <w:semiHidden/>
    <w:unhideWhenUsed/>
    <w:rsid w:val="007A3406"/>
    <w:pPr>
      <w:spacing w:after="120" w:line="480" w:lineRule="auto"/>
    </w:pPr>
  </w:style>
  <w:style w:type="character" w:customStyle="1" w:styleId="24">
    <w:name w:val="Основной текст 2 Знак"/>
    <w:basedOn w:val="a0"/>
    <w:link w:val="23"/>
    <w:uiPriority w:val="99"/>
    <w:semiHidden/>
    <w:rsid w:val="007A3406"/>
  </w:style>
  <w:style w:type="paragraph" w:styleId="ab">
    <w:name w:val="Body Text Indent"/>
    <w:basedOn w:val="a"/>
    <w:link w:val="ac"/>
    <w:uiPriority w:val="99"/>
    <w:semiHidden/>
    <w:unhideWhenUsed/>
    <w:rsid w:val="003617B4"/>
    <w:pPr>
      <w:spacing w:after="120"/>
      <w:ind w:left="283"/>
    </w:pPr>
  </w:style>
  <w:style w:type="character" w:customStyle="1" w:styleId="ac">
    <w:name w:val="Основной текст с отступом Знак"/>
    <w:basedOn w:val="a0"/>
    <w:link w:val="ab"/>
    <w:uiPriority w:val="99"/>
    <w:semiHidden/>
    <w:rsid w:val="003617B4"/>
  </w:style>
  <w:style w:type="paragraph" w:styleId="HTML">
    <w:name w:val="HTML Preformatted"/>
    <w:basedOn w:val="a"/>
    <w:link w:val="HTML0"/>
    <w:uiPriority w:val="99"/>
    <w:unhideWhenUsed/>
    <w:rsid w:val="00A52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5282B"/>
    <w:rPr>
      <w:rFonts w:ascii="Courier New" w:eastAsia="Times New Roman" w:hAnsi="Courier New" w:cs="Courier New"/>
      <w:sz w:val="20"/>
      <w:szCs w:val="20"/>
    </w:rPr>
  </w:style>
  <w:style w:type="character" w:customStyle="1" w:styleId="20">
    <w:name w:val="Заголовок 2 Знак"/>
    <w:basedOn w:val="a0"/>
    <w:link w:val="2"/>
    <w:uiPriority w:val="9"/>
    <w:semiHidden/>
    <w:rsid w:val="009345DE"/>
    <w:rPr>
      <w:rFonts w:asciiTheme="majorHAnsi" w:eastAsiaTheme="majorEastAsia" w:hAnsiTheme="majorHAnsi" w:cstheme="majorBidi"/>
      <w:b/>
      <w:bCs/>
      <w:color w:val="4F81BD" w:themeColor="accent1"/>
      <w:sz w:val="26"/>
      <w:szCs w:val="26"/>
    </w:rPr>
  </w:style>
  <w:style w:type="character" w:styleId="ad">
    <w:name w:val="Hyperlink"/>
    <w:basedOn w:val="a0"/>
    <w:uiPriority w:val="99"/>
    <w:semiHidden/>
    <w:unhideWhenUsed/>
    <w:rsid w:val="009345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9345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130636"/>
    <w:pPr>
      <w:keepNext/>
      <w:spacing w:after="0" w:line="240" w:lineRule="auto"/>
      <w:ind w:firstLine="720"/>
      <w:jc w:val="both"/>
      <w:outlineLvl w:val="3"/>
    </w:pPr>
    <w:rPr>
      <w:rFonts w:ascii="Times New Roman" w:eastAsia="Calibri" w:hAnsi="Times New Roman" w:cs="Times New Roman"/>
      <w:b/>
      <w:color w:val="000000"/>
      <w:sz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5C78"/>
    <w:pPr>
      <w:ind w:left="720"/>
      <w:contextualSpacing/>
    </w:pPr>
  </w:style>
  <w:style w:type="character" w:customStyle="1" w:styleId="40">
    <w:name w:val="Заголовок 4 Знак"/>
    <w:basedOn w:val="a0"/>
    <w:link w:val="4"/>
    <w:rsid w:val="00130636"/>
    <w:rPr>
      <w:rFonts w:ascii="Times New Roman" w:eastAsia="Calibri" w:hAnsi="Times New Roman" w:cs="Times New Roman"/>
      <w:b/>
      <w:color w:val="000000"/>
      <w:sz w:val="28"/>
      <w:lang w:val="uk-UA" w:eastAsia="en-US"/>
    </w:rPr>
  </w:style>
  <w:style w:type="paragraph" w:styleId="21">
    <w:name w:val="Body Text Indent 2"/>
    <w:basedOn w:val="a"/>
    <w:link w:val="22"/>
    <w:semiHidden/>
    <w:rsid w:val="00130636"/>
    <w:pPr>
      <w:spacing w:line="240" w:lineRule="auto"/>
      <w:ind w:firstLine="709"/>
      <w:jc w:val="both"/>
    </w:pPr>
    <w:rPr>
      <w:rFonts w:ascii="Times New Roman" w:eastAsia="Calibri" w:hAnsi="Times New Roman" w:cs="Times New Roman"/>
      <w:sz w:val="28"/>
      <w:lang w:val="uk-UA" w:eastAsia="en-US"/>
    </w:rPr>
  </w:style>
  <w:style w:type="character" w:customStyle="1" w:styleId="22">
    <w:name w:val="Основной текст с отступом 2 Знак"/>
    <w:basedOn w:val="a0"/>
    <w:link w:val="21"/>
    <w:semiHidden/>
    <w:rsid w:val="00130636"/>
    <w:rPr>
      <w:rFonts w:ascii="Times New Roman" w:eastAsia="Calibri" w:hAnsi="Times New Roman" w:cs="Times New Roman"/>
      <w:sz w:val="28"/>
      <w:lang w:val="uk-UA" w:eastAsia="en-US"/>
    </w:rPr>
  </w:style>
  <w:style w:type="paragraph" w:styleId="3">
    <w:name w:val="Body Text Indent 3"/>
    <w:basedOn w:val="a"/>
    <w:link w:val="30"/>
    <w:semiHidden/>
    <w:rsid w:val="00130636"/>
    <w:pPr>
      <w:ind w:firstLine="900"/>
      <w:jc w:val="both"/>
    </w:pPr>
    <w:rPr>
      <w:rFonts w:ascii="Times New Roman" w:eastAsia="Times New Roman" w:hAnsi="Times New Roman" w:cs="Times New Roman"/>
      <w:sz w:val="28"/>
      <w:lang w:val="uk-UA"/>
    </w:rPr>
  </w:style>
  <w:style w:type="character" w:customStyle="1" w:styleId="30">
    <w:name w:val="Основной текст с отступом 3 Знак"/>
    <w:basedOn w:val="a0"/>
    <w:link w:val="3"/>
    <w:semiHidden/>
    <w:rsid w:val="00130636"/>
    <w:rPr>
      <w:rFonts w:ascii="Times New Roman" w:eastAsia="Times New Roman" w:hAnsi="Times New Roman" w:cs="Times New Roman"/>
      <w:sz w:val="28"/>
      <w:lang w:val="uk-UA"/>
    </w:rPr>
  </w:style>
  <w:style w:type="paragraph" w:styleId="a4">
    <w:name w:val="Balloon Text"/>
    <w:basedOn w:val="a"/>
    <w:link w:val="a5"/>
    <w:uiPriority w:val="99"/>
    <w:semiHidden/>
    <w:unhideWhenUsed/>
    <w:rsid w:val="0013063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0636"/>
    <w:rPr>
      <w:rFonts w:ascii="Tahoma" w:hAnsi="Tahoma" w:cs="Tahoma"/>
      <w:sz w:val="16"/>
      <w:szCs w:val="16"/>
    </w:rPr>
  </w:style>
  <w:style w:type="paragraph" w:customStyle="1" w:styleId="a6">
    <w:name w:val="Знак Знак Знак Знак Знак Знак Знак Знак"/>
    <w:basedOn w:val="a"/>
    <w:rsid w:val="00422120"/>
    <w:pPr>
      <w:spacing w:after="0" w:line="240" w:lineRule="auto"/>
    </w:pPr>
    <w:rPr>
      <w:rFonts w:ascii="Verdana" w:eastAsia="Times New Roman" w:hAnsi="Verdana" w:cs="Verdana"/>
      <w:sz w:val="20"/>
      <w:szCs w:val="20"/>
      <w:lang w:val="en-US" w:eastAsia="en-US"/>
    </w:rPr>
  </w:style>
  <w:style w:type="paragraph" w:styleId="a7">
    <w:name w:val="No Spacing"/>
    <w:uiPriority w:val="99"/>
    <w:qFormat/>
    <w:rsid w:val="00DA5F3A"/>
    <w:pPr>
      <w:spacing w:after="0" w:line="240" w:lineRule="auto"/>
    </w:pPr>
    <w:rPr>
      <w:rFonts w:eastAsiaTheme="minorHAnsi"/>
      <w:lang w:eastAsia="en-US"/>
    </w:rPr>
  </w:style>
  <w:style w:type="table" w:styleId="a8">
    <w:name w:val="Table Grid"/>
    <w:basedOn w:val="a1"/>
    <w:uiPriority w:val="59"/>
    <w:rsid w:val="00DA5F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w:basedOn w:val="a"/>
    <w:link w:val="aa"/>
    <w:uiPriority w:val="99"/>
    <w:unhideWhenUsed/>
    <w:rsid w:val="00426B75"/>
    <w:pPr>
      <w:spacing w:after="120"/>
    </w:pPr>
  </w:style>
  <w:style w:type="character" w:customStyle="1" w:styleId="aa">
    <w:name w:val="Основной текст Знак"/>
    <w:basedOn w:val="a0"/>
    <w:link w:val="a9"/>
    <w:uiPriority w:val="99"/>
    <w:rsid w:val="00426B75"/>
  </w:style>
  <w:style w:type="paragraph" w:customStyle="1" w:styleId="210">
    <w:name w:val="Основной текст 21"/>
    <w:basedOn w:val="a"/>
    <w:rsid w:val="007A3406"/>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customStyle="1" w:styleId="214">
    <w:name w:val="Основной текст 2 + 14 пт"/>
    <w:aliases w:val="По ширине,Первая строка:"/>
    <w:basedOn w:val="23"/>
    <w:rsid w:val="007A3406"/>
    <w:pPr>
      <w:suppressAutoHyphens/>
      <w:ind w:firstLine="851"/>
      <w:jc w:val="both"/>
    </w:pPr>
    <w:rPr>
      <w:rFonts w:ascii="Times New Roman" w:eastAsia="Times New Roman" w:hAnsi="Times New Roman" w:cs="Times New Roman"/>
      <w:bCs/>
      <w:sz w:val="28"/>
      <w:szCs w:val="28"/>
      <w:lang w:val="uk-UA" w:eastAsia="ar-SA"/>
    </w:rPr>
  </w:style>
  <w:style w:type="paragraph" w:styleId="23">
    <w:name w:val="Body Text 2"/>
    <w:basedOn w:val="a"/>
    <w:link w:val="24"/>
    <w:uiPriority w:val="99"/>
    <w:semiHidden/>
    <w:unhideWhenUsed/>
    <w:rsid w:val="007A3406"/>
    <w:pPr>
      <w:spacing w:after="120" w:line="480" w:lineRule="auto"/>
    </w:pPr>
  </w:style>
  <w:style w:type="character" w:customStyle="1" w:styleId="24">
    <w:name w:val="Основной текст 2 Знак"/>
    <w:basedOn w:val="a0"/>
    <w:link w:val="23"/>
    <w:uiPriority w:val="99"/>
    <w:semiHidden/>
    <w:rsid w:val="007A3406"/>
  </w:style>
  <w:style w:type="paragraph" w:styleId="ab">
    <w:name w:val="Body Text Indent"/>
    <w:basedOn w:val="a"/>
    <w:link w:val="ac"/>
    <w:uiPriority w:val="99"/>
    <w:semiHidden/>
    <w:unhideWhenUsed/>
    <w:rsid w:val="003617B4"/>
    <w:pPr>
      <w:spacing w:after="120"/>
      <w:ind w:left="283"/>
    </w:pPr>
  </w:style>
  <w:style w:type="character" w:customStyle="1" w:styleId="ac">
    <w:name w:val="Основной текст с отступом Знак"/>
    <w:basedOn w:val="a0"/>
    <w:link w:val="ab"/>
    <w:uiPriority w:val="99"/>
    <w:semiHidden/>
    <w:rsid w:val="003617B4"/>
  </w:style>
  <w:style w:type="paragraph" w:styleId="HTML">
    <w:name w:val="HTML Preformatted"/>
    <w:basedOn w:val="a"/>
    <w:link w:val="HTML0"/>
    <w:uiPriority w:val="99"/>
    <w:unhideWhenUsed/>
    <w:rsid w:val="00A52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5282B"/>
    <w:rPr>
      <w:rFonts w:ascii="Courier New" w:eastAsia="Times New Roman" w:hAnsi="Courier New" w:cs="Courier New"/>
      <w:sz w:val="20"/>
      <w:szCs w:val="20"/>
    </w:rPr>
  </w:style>
  <w:style w:type="character" w:customStyle="1" w:styleId="20">
    <w:name w:val="Заголовок 2 Знак"/>
    <w:basedOn w:val="a0"/>
    <w:link w:val="2"/>
    <w:uiPriority w:val="9"/>
    <w:semiHidden/>
    <w:rsid w:val="009345DE"/>
    <w:rPr>
      <w:rFonts w:asciiTheme="majorHAnsi" w:eastAsiaTheme="majorEastAsia" w:hAnsiTheme="majorHAnsi" w:cstheme="majorBidi"/>
      <w:b/>
      <w:bCs/>
      <w:color w:val="4F81BD" w:themeColor="accent1"/>
      <w:sz w:val="26"/>
      <w:szCs w:val="26"/>
    </w:rPr>
  </w:style>
  <w:style w:type="character" w:styleId="ad">
    <w:name w:val="Hyperlink"/>
    <w:basedOn w:val="a0"/>
    <w:uiPriority w:val="99"/>
    <w:semiHidden/>
    <w:unhideWhenUsed/>
    <w:rsid w:val="009345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0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20.xml"/><Relationship Id="rId3" Type="http://schemas.openxmlformats.org/officeDocument/2006/relationships/styles" Target="styles.xml"/><Relationship Id="rId21" Type="http://schemas.openxmlformats.org/officeDocument/2006/relationships/chart" Target="charts/chart15.xml"/><Relationship Id="rId34"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9.xml"/><Relationship Id="rId33" Type="http://schemas.openxmlformats.org/officeDocument/2006/relationships/chart" Target="charts/chart27.xml"/><Relationship Id="rId2" Type="http://schemas.openxmlformats.org/officeDocument/2006/relationships/numbering" Target="numbering.xml"/><Relationship Id="rId16" Type="http://schemas.openxmlformats.org/officeDocument/2006/relationships/chart" Target="charts/chart10.xml"/><Relationship Id="rId20" Type="http://schemas.openxmlformats.org/officeDocument/2006/relationships/chart" Target="charts/chart14.xml"/><Relationship Id="rId29" Type="http://schemas.openxmlformats.org/officeDocument/2006/relationships/chart" Target="charts/chart2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5.xml"/><Relationship Id="rId24" Type="http://schemas.openxmlformats.org/officeDocument/2006/relationships/chart" Target="charts/chart18.xml"/><Relationship Id="rId32" Type="http://schemas.openxmlformats.org/officeDocument/2006/relationships/chart" Target="charts/chart26.xml"/><Relationship Id="rId5" Type="http://schemas.openxmlformats.org/officeDocument/2006/relationships/settings" Target="settings.xml"/><Relationship Id="rId15" Type="http://schemas.openxmlformats.org/officeDocument/2006/relationships/chart" Target="charts/chart9.xml"/><Relationship Id="rId23" Type="http://schemas.openxmlformats.org/officeDocument/2006/relationships/chart" Target="charts/chart17.xml"/><Relationship Id="rId28" Type="http://schemas.openxmlformats.org/officeDocument/2006/relationships/chart" Target="charts/chart22.xml"/><Relationship Id="rId10" Type="http://schemas.openxmlformats.org/officeDocument/2006/relationships/chart" Target="charts/chart4.xml"/><Relationship Id="rId19" Type="http://schemas.openxmlformats.org/officeDocument/2006/relationships/chart" Target="charts/chart13.xml"/><Relationship Id="rId31" Type="http://schemas.openxmlformats.org/officeDocument/2006/relationships/chart" Target="charts/chart25.xml"/><Relationship Id="rId4" Type="http://schemas.microsoft.com/office/2007/relationships/stylesWithEffects" Target="stylesWithEffect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chart" Target="charts/chart21.xml"/><Relationship Id="rId30" Type="http://schemas.openxmlformats.org/officeDocument/2006/relationships/chart" Target="charts/chart24.xm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Excel17.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Excel18.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1" Type="http://schemas.openxmlformats.org/officeDocument/2006/relationships/package" Target="../embeddings/_____Microsoft_Excel19.xlsx"/></Relationships>
</file>

<file path=word/charts/_rels/chart21.xml.rels><?xml version="1.0" encoding="UTF-8" standalone="yes"?>
<Relationships xmlns="http://schemas.openxmlformats.org/package/2006/relationships"><Relationship Id="rId2" Type="http://schemas.openxmlformats.org/officeDocument/2006/relationships/package" Target="../embeddings/_____Microsoft_Excel20.xlsx"/><Relationship Id="rId1" Type="http://schemas.openxmlformats.org/officeDocument/2006/relationships/themeOverride" Target="../theme/themeOverride6.xml"/></Relationships>
</file>

<file path=word/charts/_rels/chart22.xml.rels><?xml version="1.0" encoding="UTF-8" standalone="yes"?>
<Relationships xmlns="http://schemas.openxmlformats.org/package/2006/relationships"><Relationship Id="rId2" Type="http://schemas.openxmlformats.org/officeDocument/2006/relationships/package" Target="../embeddings/_____Microsoft_Excel21.xlsx"/><Relationship Id="rId1" Type="http://schemas.openxmlformats.org/officeDocument/2006/relationships/themeOverride" Target="../theme/themeOverride7.xml"/></Relationships>
</file>

<file path=word/charts/_rels/chart23.xml.rels><?xml version="1.0" encoding="UTF-8" standalone="yes"?>
<Relationships xmlns="http://schemas.openxmlformats.org/package/2006/relationships"><Relationship Id="rId2" Type="http://schemas.openxmlformats.org/officeDocument/2006/relationships/package" Target="../embeddings/_____Microsoft_Excel22.xlsx"/><Relationship Id="rId1" Type="http://schemas.openxmlformats.org/officeDocument/2006/relationships/themeOverride" Target="../theme/themeOverride8.xml"/></Relationships>
</file>

<file path=word/charts/_rels/chart24.xml.rels><?xml version="1.0" encoding="UTF-8" standalone="yes"?>
<Relationships xmlns="http://schemas.openxmlformats.org/package/2006/relationships"><Relationship Id="rId2" Type="http://schemas.openxmlformats.org/officeDocument/2006/relationships/package" Target="../embeddings/_____Microsoft_Excel23.xlsx"/><Relationship Id="rId1" Type="http://schemas.openxmlformats.org/officeDocument/2006/relationships/themeOverride" Target="../theme/themeOverride9.xml"/></Relationships>
</file>

<file path=word/charts/_rels/chart25.xml.rels><?xml version="1.0" encoding="UTF-8" standalone="yes"?>
<Relationships xmlns="http://schemas.openxmlformats.org/package/2006/relationships"><Relationship Id="rId1" Type="http://schemas.openxmlformats.org/officeDocument/2006/relationships/package" Target="../embeddings/_____Microsoft_Excel24.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_____Microsoft_Excel25.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_____Microsoft_Excel26.xlsx"/></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Admin\&#1052;&#1086;&#1080;%20&#1076;&#1086;&#1082;&#1091;&#1084;&#1077;&#1085;&#1090;&#1099;\&#1050;&#1085;&#1080;&#1075;&#1072;1.xlsx" TargetMode="Externa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6.5773089043481628E-2"/>
          <c:y val="1.0650121614379443E-2"/>
          <c:w val="0.89970695410646462"/>
          <c:h val="0.92393824463041663"/>
        </c:manualLayout>
      </c:layout>
      <c:bar3DChart>
        <c:barDir val="col"/>
        <c:grouping val="clustered"/>
        <c:varyColors val="0"/>
        <c:ser>
          <c:idx val="0"/>
          <c:order val="0"/>
          <c:tx>
            <c:strRef>
              <c:f>Лист1!$B$1</c:f>
              <c:strCache>
                <c:ptCount val="1"/>
                <c:pt idx="0">
                  <c:v>вир-во валової продукції</c:v>
                </c:pt>
              </c:strCache>
            </c:strRef>
          </c:tx>
          <c:invertIfNegative val="0"/>
          <c:dLbls>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Лист1!$A$2:$A$5</c:f>
              <c:strCache>
                <c:ptCount val="3"/>
                <c:pt idx="0">
                  <c:v>2011р</c:v>
                </c:pt>
                <c:pt idx="1">
                  <c:v>2012р</c:v>
                </c:pt>
                <c:pt idx="2">
                  <c:v>2013р</c:v>
                </c:pt>
              </c:strCache>
            </c:strRef>
          </c:cat>
          <c:val>
            <c:numRef>
              <c:f>Лист1!$B$2:$B$5</c:f>
              <c:numCache>
                <c:formatCode>General</c:formatCode>
                <c:ptCount val="4"/>
                <c:pt idx="0">
                  <c:v>250.2</c:v>
                </c:pt>
                <c:pt idx="1">
                  <c:v>276.10000000000002</c:v>
                </c:pt>
                <c:pt idx="2">
                  <c:v>367</c:v>
                </c:pt>
              </c:numCache>
            </c:numRef>
          </c:val>
        </c:ser>
        <c:ser>
          <c:idx val="1"/>
          <c:order val="1"/>
          <c:tx>
            <c:strRef>
              <c:f>Лист1!$C$1</c:f>
              <c:strCache>
                <c:ptCount val="1"/>
                <c:pt idx="0">
                  <c:v>Столбец1</c:v>
                </c:pt>
              </c:strCache>
            </c:strRef>
          </c:tx>
          <c:invertIfNegative val="0"/>
          <c:cat>
            <c:strRef>
              <c:f>Лист1!$A$2:$A$5</c:f>
              <c:strCache>
                <c:ptCount val="3"/>
                <c:pt idx="0">
                  <c:v>2011р</c:v>
                </c:pt>
                <c:pt idx="1">
                  <c:v>2012р</c:v>
                </c:pt>
                <c:pt idx="2">
                  <c:v>2013р</c:v>
                </c:pt>
              </c:strCache>
            </c:strRef>
          </c:cat>
          <c:val>
            <c:numRef>
              <c:f>Лист1!$C$2:$C$5</c:f>
              <c:numCache>
                <c:formatCode>General</c:formatCode>
                <c:ptCount val="4"/>
              </c:numCache>
            </c:numRef>
          </c:val>
        </c:ser>
        <c:ser>
          <c:idx val="2"/>
          <c:order val="2"/>
          <c:tx>
            <c:strRef>
              <c:f>Лист1!$D$1</c:f>
              <c:strCache>
                <c:ptCount val="1"/>
                <c:pt idx="0">
                  <c:v>Столбец2</c:v>
                </c:pt>
              </c:strCache>
            </c:strRef>
          </c:tx>
          <c:invertIfNegative val="0"/>
          <c:cat>
            <c:strRef>
              <c:f>Лист1!$A$2:$A$5</c:f>
              <c:strCache>
                <c:ptCount val="3"/>
                <c:pt idx="0">
                  <c:v>2011р</c:v>
                </c:pt>
                <c:pt idx="1">
                  <c:v>2012р</c:v>
                </c:pt>
                <c:pt idx="2">
                  <c:v>2013р</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box"/>
        <c:axId val="216854912"/>
        <c:axId val="216856448"/>
        <c:axId val="0"/>
      </c:bar3DChart>
      <c:catAx>
        <c:axId val="216854912"/>
        <c:scaling>
          <c:orientation val="minMax"/>
        </c:scaling>
        <c:delete val="0"/>
        <c:axPos val="b"/>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16856448"/>
        <c:crosses val="autoZero"/>
        <c:auto val="1"/>
        <c:lblAlgn val="ctr"/>
        <c:lblOffset val="100"/>
        <c:noMultiLvlLbl val="0"/>
      </c:catAx>
      <c:valAx>
        <c:axId val="216856448"/>
        <c:scaling>
          <c:orientation val="minMax"/>
        </c:scaling>
        <c:delete val="0"/>
        <c:axPos val="l"/>
        <c:majorGridlines/>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16854912"/>
        <c:crosses val="autoZero"/>
        <c:crossBetween val="between"/>
      </c:valAx>
      <c:spPr>
        <a:noFill/>
        <a:ln w="25400">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9"/>
      <c:rotY val="20"/>
      <c:depthPercent val="100"/>
      <c:rAngAx val="1"/>
    </c:view3D>
    <c:floor>
      <c:thickness val="0"/>
      <c:spPr>
        <a:solidFill>
          <a:srgbClr val="CCFFFF"/>
        </a:solidFill>
        <a:ln w="3175">
          <a:solidFill>
            <a:srgbClr val="000000"/>
          </a:solidFill>
          <a:prstDash val="solid"/>
        </a:ln>
      </c:spPr>
    </c:floor>
    <c:sideWall>
      <c:thickness val="0"/>
      <c:spPr>
        <a:solidFill>
          <a:srgbClr val="CCFFFF"/>
        </a:solidFill>
        <a:ln w="12700">
          <a:solidFill>
            <a:srgbClr val="808080"/>
          </a:solidFill>
          <a:prstDash val="solid"/>
        </a:ln>
      </c:spPr>
    </c:sideWall>
    <c:backWall>
      <c:thickness val="0"/>
      <c:spPr>
        <a:solidFill>
          <a:srgbClr val="CCFFFF"/>
        </a:solidFill>
        <a:ln w="12700">
          <a:solidFill>
            <a:srgbClr val="808080"/>
          </a:solidFill>
          <a:prstDash val="solid"/>
        </a:ln>
      </c:spPr>
    </c:backWall>
    <c:plotArea>
      <c:layout>
        <c:manualLayout>
          <c:layoutTarget val="inner"/>
          <c:xMode val="edge"/>
          <c:yMode val="edge"/>
          <c:x val="7.7727952167414044E-2"/>
          <c:y val="5.0295857988165681E-2"/>
          <c:w val="0.90732436472346756"/>
          <c:h val="0.80177514792899462"/>
        </c:manualLayout>
      </c:layout>
      <c:bar3DChart>
        <c:barDir val="col"/>
        <c:grouping val="clustered"/>
        <c:varyColors val="0"/>
        <c:ser>
          <c:idx val="0"/>
          <c:order val="0"/>
          <c:tx>
            <c:strRef>
              <c:f>Sheet1!$A$2</c:f>
              <c:strCache>
                <c:ptCount val="1"/>
                <c:pt idx="0">
                  <c:v>Восток</c:v>
                </c:pt>
              </c:strCache>
            </c:strRef>
          </c:tx>
          <c:spPr>
            <a:solidFill>
              <a:srgbClr val="9999FF"/>
            </a:solidFill>
            <a:ln w="12700">
              <a:solidFill>
                <a:srgbClr val="000000"/>
              </a:solidFill>
              <a:prstDash val="solid"/>
            </a:ln>
          </c:spPr>
          <c:invertIfNegative val="0"/>
          <c:dLbls>
            <c:spPr>
              <a:noFill/>
              <a:ln w="25400">
                <a:noFill/>
              </a:ln>
            </c:spPr>
            <c:txPr>
              <a:bodyPr/>
              <a:lstStyle/>
              <a:p>
                <a:pPr>
                  <a:defRPr lang="ru-RU"/>
                </a:pPr>
                <a:endParaRPr lang="ru-RU"/>
              </a:p>
            </c:txPr>
            <c:showLegendKey val="0"/>
            <c:showVal val="1"/>
            <c:showCatName val="0"/>
            <c:showSerName val="0"/>
            <c:showPercent val="0"/>
            <c:showBubbleSize val="0"/>
            <c:showLeaderLines val="0"/>
          </c:dLbls>
          <c:cat>
            <c:strRef>
              <c:f>Sheet1!$B$1:$F$1</c:f>
              <c:strCache>
                <c:ptCount val="5"/>
                <c:pt idx="0">
                  <c:v>2009 рік</c:v>
                </c:pt>
                <c:pt idx="1">
                  <c:v>2010рік</c:v>
                </c:pt>
                <c:pt idx="2">
                  <c:v>2011рік</c:v>
                </c:pt>
                <c:pt idx="3">
                  <c:v>2012 рік</c:v>
                </c:pt>
                <c:pt idx="4">
                  <c:v>2013 рік</c:v>
                </c:pt>
              </c:strCache>
            </c:strRef>
          </c:cat>
          <c:val>
            <c:numRef>
              <c:f>Sheet1!$B$2:$F$2</c:f>
              <c:numCache>
                <c:formatCode>General</c:formatCode>
                <c:ptCount val="5"/>
                <c:pt idx="0">
                  <c:v>191</c:v>
                </c:pt>
                <c:pt idx="1">
                  <c:v>214</c:v>
                </c:pt>
                <c:pt idx="2">
                  <c:v>380</c:v>
                </c:pt>
                <c:pt idx="3">
                  <c:v>700</c:v>
                </c:pt>
                <c:pt idx="4">
                  <c:v>770</c:v>
                </c:pt>
              </c:numCache>
            </c:numRef>
          </c:val>
        </c:ser>
        <c:dLbls>
          <c:showLegendKey val="0"/>
          <c:showVal val="0"/>
          <c:showCatName val="0"/>
          <c:showSerName val="0"/>
          <c:showPercent val="0"/>
          <c:showBubbleSize val="0"/>
        </c:dLbls>
        <c:gapWidth val="150"/>
        <c:gapDepth val="0"/>
        <c:shape val="box"/>
        <c:axId val="266143232"/>
        <c:axId val="266144768"/>
        <c:axId val="0"/>
      </c:bar3DChart>
      <c:catAx>
        <c:axId val="26614323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a:pPr>
            <a:endParaRPr lang="ru-RU"/>
          </a:p>
        </c:txPr>
        <c:crossAx val="266144768"/>
        <c:crosses val="autoZero"/>
        <c:auto val="1"/>
        <c:lblAlgn val="ctr"/>
        <c:lblOffset val="100"/>
        <c:tickLblSkip val="1"/>
        <c:tickMarkSkip val="1"/>
        <c:noMultiLvlLbl val="0"/>
      </c:catAx>
      <c:valAx>
        <c:axId val="26614476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lang="ru-RU"/>
            </a:pPr>
            <a:endParaRPr lang="ru-RU"/>
          </a:p>
        </c:txPr>
        <c:crossAx val="266143232"/>
        <c:crosses val="autoZero"/>
        <c:crossBetween val="between"/>
        <c:majorUnit val="100"/>
        <c:minorUnit val="100"/>
      </c:valAx>
      <c:spPr>
        <a:noFill/>
        <a:ln w="25400">
          <a:noFill/>
        </a:ln>
      </c:spPr>
    </c:plotArea>
    <c:plotVisOnly val="1"/>
    <c:dispBlanksAs val="gap"/>
    <c:showDLblsOverMax val="0"/>
  </c:chart>
  <c:spPr>
    <a:noFill/>
    <a:ln>
      <a:noFill/>
    </a:ln>
  </c:spPr>
  <c:txPr>
    <a:bodyPr/>
    <a:lstStyle/>
    <a:p>
      <a:pPr>
        <a:defRPr sz="11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1"/>
      <c:rotY val="20"/>
      <c:depthPercent val="100"/>
      <c:rAngAx val="1"/>
    </c:view3D>
    <c:floor>
      <c:thickness val="0"/>
      <c:spPr>
        <a:solidFill>
          <a:srgbClr val="CCFFFF"/>
        </a:solidFill>
        <a:ln w="3175">
          <a:solidFill>
            <a:srgbClr val="000000"/>
          </a:solidFill>
          <a:prstDash val="solid"/>
        </a:ln>
      </c:spPr>
    </c:floor>
    <c:sideWall>
      <c:thickness val="0"/>
      <c:spPr>
        <a:solidFill>
          <a:srgbClr val="CCFFFF"/>
        </a:solidFill>
        <a:ln w="12700">
          <a:solidFill>
            <a:srgbClr val="000000"/>
          </a:solidFill>
          <a:prstDash val="solid"/>
        </a:ln>
      </c:spPr>
    </c:sideWall>
    <c:backWall>
      <c:thickness val="0"/>
      <c:spPr>
        <a:solidFill>
          <a:srgbClr val="CCFFFF"/>
        </a:solidFill>
        <a:ln w="12700">
          <a:solidFill>
            <a:srgbClr val="000000"/>
          </a:solidFill>
          <a:prstDash val="solid"/>
        </a:ln>
      </c:spPr>
    </c:backWall>
    <c:plotArea>
      <c:layout>
        <c:manualLayout>
          <c:layoutTarget val="inner"/>
          <c:xMode val="edge"/>
          <c:yMode val="edge"/>
          <c:x val="6.4179104477611937E-2"/>
          <c:y val="4.5197740112994364E-2"/>
          <c:w val="0.9208955223880626"/>
          <c:h val="0.81073446327683663"/>
        </c:manualLayout>
      </c:layout>
      <c:bar3DChart>
        <c:barDir val="col"/>
        <c:grouping val="clustered"/>
        <c:varyColors val="0"/>
        <c:ser>
          <c:idx val="0"/>
          <c:order val="0"/>
          <c:tx>
            <c:strRef>
              <c:f>Sheet1!$A$2</c:f>
              <c:strCache>
                <c:ptCount val="1"/>
                <c:pt idx="0">
                  <c:v>Восток</c:v>
                </c:pt>
              </c:strCache>
            </c:strRef>
          </c:tx>
          <c:spPr>
            <a:solidFill>
              <a:srgbClr val="9999FF"/>
            </a:solidFill>
            <a:ln w="12700">
              <a:solidFill>
                <a:srgbClr val="000000"/>
              </a:solidFill>
              <a:prstDash val="solid"/>
            </a:ln>
          </c:spPr>
          <c:invertIfNegative val="0"/>
          <c:dLbls>
            <c:spPr>
              <a:noFill/>
              <a:ln w="25400">
                <a:noFill/>
              </a:ln>
            </c:spPr>
            <c:txPr>
              <a:bodyPr/>
              <a:lstStyle/>
              <a:p>
                <a:pPr>
                  <a:defRPr lang="ru-RU"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Sheet1!$B$1:$F$1</c:f>
              <c:strCache>
                <c:ptCount val="5"/>
                <c:pt idx="0">
                  <c:v>2009 рік</c:v>
                </c:pt>
                <c:pt idx="1">
                  <c:v>2010рік</c:v>
                </c:pt>
                <c:pt idx="2">
                  <c:v>2011рік</c:v>
                </c:pt>
                <c:pt idx="3">
                  <c:v>2012 рік</c:v>
                </c:pt>
                <c:pt idx="4">
                  <c:v>2013 рік</c:v>
                </c:pt>
              </c:strCache>
            </c:strRef>
          </c:cat>
          <c:val>
            <c:numRef>
              <c:f>Sheet1!$B$2:$F$2</c:f>
              <c:numCache>
                <c:formatCode>General</c:formatCode>
                <c:ptCount val="5"/>
                <c:pt idx="0">
                  <c:v>7.4</c:v>
                </c:pt>
                <c:pt idx="1">
                  <c:v>8.4</c:v>
                </c:pt>
                <c:pt idx="2">
                  <c:v>14.2</c:v>
                </c:pt>
                <c:pt idx="3">
                  <c:v>26.9</c:v>
                </c:pt>
                <c:pt idx="4">
                  <c:v>31</c:v>
                </c:pt>
              </c:numCache>
            </c:numRef>
          </c:val>
        </c:ser>
        <c:dLbls>
          <c:showLegendKey val="0"/>
          <c:showVal val="0"/>
          <c:showCatName val="0"/>
          <c:showSerName val="0"/>
          <c:showPercent val="0"/>
          <c:showBubbleSize val="0"/>
        </c:dLbls>
        <c:gapWidth val="150"/>
        <c:gapDepth val="0"/>
        <c:shape val="box"/>
        <c:axId val="266157440"/>
        <c:axId val="266183808"/>
        <c:axId val="0"/>
      </c:bar3DChart>
      <c:catAx>
        <c:axId val="26615744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sz="1000" b="1" i="0" u="none" strike="noStrike" baseline="0">
                <a:solidFill>
                  <a:srgbClr val="000000"/>
                </a:solidFill>
                <a:latin typeface="Arial Cyr"/>
                <a:ea typeface="Arial Cyr"/>
                <a:cs typeface="Arial Cyr"/>
              </a:defRPr>
            </a:pPr>
            <a:endParaRPr lang="ru-RU"/>
          </a:p>
        </c:txPr>
        <c:crossAx val="266183808"/>
        <c:crosses val="autoZero"/>
        <c:auto val="1"/>
        <c:lblAlgn val="ctr"/>
        <c:lblOffset val="100"/>
        <c:tickLblSkip val="1"/>
        <c:tickMarkSkip val="1"/>
        <c:noMultiLvlLbl val="0"/>
      </c:catAx>
      <c:valAx>
        <c:axId val="266183808"/>
        <c:scaling>
          <c:orientation val="minMax"/>
          <c:max val="4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lang="ru-RU" sz="1000" b="1" i="0" u="none" strike="noStrike" baseline="0">
                <a:solidFill>
                  <a:srgbClr val="000000"/>
                </a:solidFill>
                <a:latin typeface="Arial Cyr"/>
                <a:ea typeface="Arial Cyr"/>
                <a:cs typeface="Arial Cyr"/>
              </a:defRPr>
            </a:pPr>
            <a:endParaRPr lang="ru-RU"/>
          </a:p>
        </c:txPr>
        <c:crossAx val="266157440"/>
        <c:crosses val="autoZero"/>
        <c:crossBetween val="between"/>
        <c:majorUnit val="10"/>
        <c:minorUnit val="10"/>
      </c:valAx>
      <c:spPr>
        <a:noFill/>
        <a:ln w="25400">
          <a:noFill/>
        </a:ln>
      </c:spPr>
    </c:plotArea>
    <c:plotVisOnly val="1"/>
    <c:dispBlanksAs val="gap"/>
    <c:showDLblsOverMax val="0"/>
  </c:chart>
  <c:spPr>
    <a:noFill/>
    <a:ln>
      <a:noFill/>
    </a:ln>
  </c:spPr>
  <c:txPr>
    <a:bodyPr/>
    <a:lstStyle/>
    <a:p>
      <a:pPr>
        <a:defRPr sz="155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83"/>
      <c:rotY val="20"/>
      <c:depthPercent val="180"/>
      <c:rAngAx val="1"/>
    </c:view3D>
    <c:floor>
      <c:thickness val="0"/>
      <c:spPr>
        <a:solidFill>
          <a:srgbClr val="CCFFFF"/>
        </a:solidFill>
        <a:ln w="3175">
          <a:solidFill>
            <a:srgbClr val="000000"/>
          </a:solidFill>
          <a:prstDash val="solid"/>
        </a:ln>
      </c:spPr>
    </c:floor>
    <c:sideWall>
      <c:thickness val="0"/>
      <c:spPr>
        <a:solidFill>
          <a:srgbClr val="CCFFFF"/>
        </a:solidFill>
        <a:ln w="12700">
          <a:solidFill>
            <a:srgbClr val="808080"/>
          </a:solidFill>
          <a:prstDash val="solid"/>
        </a:ln>
      </c:spPr>
    </c:sideWall>
    <c:backWall>
      <c:thickness val="0"/>
      <c:spPr>
        <a:solidFill>
          <a:srgbClr val="CCFFFF"/>
        </a:solidFill>
        <a:ln w="12700">
          <a:solidFill>
            <a:srgbClr val="808080"/>
          </a:solidFill>
          <a:prstDash val="solid"/>
        </a:ln>
      </c:spPr>
    </c:backWall>
    <c:plotArea>
      <c:layout>
        <c:manualLayout>
          <c:layoutTarget val="inner"/>
          <c:xMode val="edge"/>
          <c:yMode val="edge"/>
          <c:x val="5.3412462908012166E-2"/>
          <c:y val="3.0812324929972011E-2"/>
          <c:w val="0.56824925816023764"/>
          <c:h val="0.78711484593837533"/>
        </c:manualLayout>
      </c:layout>
      <c:bar3DChart>
        <c:barDir val="col"/>
        <c:grouping val="clustered"/>
        <c:varyColors val="0"/>
        <c:ser>
          <c:idx val="0"/>
          <c:order val="0"/>
          <c:tx>
            <c:strRef>
              <c:f>Sheet1!$A$2</c:f>
              <c:strCache>
                <c:ptCount val="1"/>
                <c:pt idx="0">
                  <c:v>1,50%</c:v>
                </c:pt>
              </c:strCache>
            </c:strRef>
          </c:tx>
          <c:spPr>
            <a:solidFill>
              <a:srgbClr val="FF00FF"/>
            </a:solidFill>
            <a:ln w="12700">
              <a:solidFill>
                <a:srgbClr val="000000"/>
              </a:solidFill>
              <a:prstDash val="solid"/>
            </a:ln>
          </c:spPr>
          <c:invertIfNegative val="0"/>
          <c:dLbls>
            <c:spPr>
              <a:noFill/>
              <a:ln w="25400">
                <a:noFill/>
              </a:ln>
            </c:spPr>
            <c:txPr>
              <a:bodyPr/>
              <a:lstStyle/>
              <a:p>
                <a:pPr>
                  <a:defRPr lang="ru-RU"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Sheet1!$B$1:$F$1</c:f>
              <c:strCache>
                <c:ptCount val="5"/>
                <c:pt idx="0">
                  <c:v>2009рік</c:v>
                </c:pt>
                <c:pt idx="1">
                  <c:v>2010 рік</c:v>
                </c:pt>
                <c:pt idx="2">
                  <c:v>2011 рік</c:v>
                </c:pt>
                <c:pt idx="3">
                  <c:v>2012 рік</c:v>
                </c:pt>
                <c:pt idx="4">
                  <c:v>2013 рік </c:v>
                </c:pt>
              </c:strCache>
            </c:strRef>
          </c:cat>
          <c:val>
            <c:numRef>
              <c:f>Sheet1!$B$2:$F$2</c:f>
              <c:numCache>
                <c:formatCode>General</c:formatCode>
                <c:ptCount val="5"/>
                <c:pt idx="0">
                  <c:v>33.6</c:v>
                </c:pt>
                <c:pt idx="1">
                  <c:v>29.8</c:v>
                </c:pt>
                <c:pt idx="2">
                  <c:v>2.7</c:v>
                </c:pt>
                <c:pt idx="3">
                  <c:v>1.4</c:v>
                </c:pt>
                <c:pt idx="4">
                  <c:v>0.5</c:v>
                </c:pt>
              </c:numCache>
            </c:numRef>
          </c:val>
        </c:ser>
        <c:ser>
          <c:idx val="1"/>
          <c:order val="1"/>
          <c:tx>
            <c:strRef>
              <c:f>Sheet1!$A$3</c:f>
              <c:strCache>
                <c:ptCount val="1"/>
                <c:pt idx="0">
                  <c:v>3 і більше%</c:v>
                </c:pt>
              </c:strCache>
            </c:strRef>
          </c:tx>
          <c:spPr>
            <a:solidFill>
              <a:srgbClr val="3366FF"/>
            </a:solidFill>
            <a:ln w="12700">
              <a:solidFill>
                <a:srgbClr val="000000"/>
              </a:solidFill>
              <a:prstDash val="solid"/>
            </a:ln>
          </c:spPr>
          <c:invertIfNegative val="0"/>
          <c:dLbls>
            <c:spPr>
              <a:noFill/>
              <a:ln w="25400">
                <a:noFill/>
              </a:ln>
            </c:spPr>
            <c:txPr>
              <a:bodyPr/>
              <a:lstStyle/>
              <a:p>
                <a:pPr>
                  <a:defRPr lang="ru-RU"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Sheet1!$B$1:$F$1</c:f>
              <c:strCache>
                <c:ptCount val="5"/>
                <c:pt idx="0">
                  <c:v>2009рік</c:v>
                </c:pt>
                <c:pt idx="1">
                  <c:v>2010 рік</c:v>
                </c:pt>
                <c:pt idx="2">
                  <c:v>2011 рік</c:v>
                </c:pt>
                <c:pt idx="3">
                  <c:v>2012 рік</c:v>
                </c:pt>
                <c:pt idx="4">
                  <c:v>2013 рік </c:v>
                </c:pt>
              </c:strCache>
            </c:strRef>
          </c:cat>
          <c:val>
            <c:numRef>
              <c:f>Sheet1!$B$3:$F$3</c:f>
              <c:numCache>
                <c:formatCode>General</c:formatCode>
                <c:ptCount val="5"/>
                <c:pt idx="0">
                  <c:v>5.3</c:v>
                </c:pt>
                <c:pt idx="1">
                  <c:v>6.2</c:v>
                </c:pt>
                <c:pt idx="2">
                  <c:v>35.300000000000004</c:v>
                </c:pt>
                <c:pt idx="3">
                  <c:v>37.1</c:v>
                </c:pt>
                <c:pt idx="4">
                  <c:v>39.6</c:v>
                </c:pt>
              </c:numCache>
            </c:numRef>
          </c:val>
        </c:ser>
        <c:dLbls>
          <c:showLegendKey val="0"/>
          <c:showVal val="0"/>
          <c:showCatName val="0"/>
          <c:showSerName val="0"/>
          <c:showPercent val="0"/>
          <c:showBubbleSize val="0"/>
        </c:dLbls>
        <c:gapWidth val="80"/>
        <c:gapDepth val="0"/>
        <c:shape val="box"/>
        <c:axId val="272918784"/>
        <c:axId val="272928768"/>
        <c:axId val="0"/>
      </c:bar3DChart>
      <c:catAx>
        <c:axId val="27291878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sz="1000" b="1" i="0" u="none" strike="noStrike" baseline="0">
                <a:solidFill>
                  <a:srgbClr val="000000"/>
                </a:solidFill>
                <a:latin typeface="Arial Cyr"/>
                <a:ea typeface="Arial Cyr"/>
                <a:cs typeface="Arial Cyr"/>
              </a:defRPr>
            </a:pPr>
            <a:endParaRPr lang="ru-RU"/>
          </a:p>
        </c:txPr>
        <c:crossAx val="272928768"/>
        <c:crosses val="autoZero"/>
        <c:auto val="1"/>
        <c:lblAlgn val="ctr"/>
        <c:lblOffset val="100"/>
        <c:tickLblSkip val="1"/>
        <c:tickMarkSkip val="1"/>
        <c:noMultiLvlLbl val="0"/>
      </c:catAx>
      <c:valAx>
        <c:axId val="27292876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lang="ru-RU" sz="1000" b="1" i="0" u="none" strike="noStrike" baseline="0">
                <a:solidFill>
                  <a:srgbClr val="000000"/>
                </a:solidFill>
                <a:latin typeface="Arial Cyr"/>
                <a:ea typeface="Arial Cyr"/>
                <a:cs typeface="Arial Cyr"/>
              </a:defRPr>
            </a:pPr>
            <a:endParaRPr lang="ru-RU"/>
          </a:p>
        </c:txPr>
        <c:crossAx val="272918784"/>
        <c:crosses val="autoZero"/>
        <c:crossBetween val="between"/>
        <c:majorUnit val="10"/>
      </c:valAx>
      <c:spPr>
        <a:noFill/>
        <a:ln w="25400">
          <a:noFill/>
        </a:ln>
      </c:spPr>
    </c:plotArea>
    <c:legend>
      <c:legendPos val="r"/>
      <c:legendEntry>
        <c:idx val="0"/>
        <c:txPr>
          <a:bodyPr/>
          <a:lstStyle/>
          <a:p>
            <a:pPr>
              <a:defRPr sz="1000" b="1" i="0" u="none" strike="noStrike" baseline="0">
                <a:solidFill>
                  <a:srgbClr val="000000"/>
                </a:solidFill>
                <a:latin typeface="Arial Cyr"/>
                <a:ea typeface="Arial Cyr"/>
                <a:cs typeface="Arial Cyr"/>
              </a:defRPr>
            </a:pPr>
            <a:endParaRPr lang="ru-RU"/>
          </a:p>
        </c:txPr>
      </c:legendEntry>
      <c:legendEntry>
        <c:idx val="1"/>
        <c:txPr>
          <a:bodyPr/>
          <a:lstStyle/>
          <a:p>
            <a:pPr>
              <a:defRPr sz="1000" b="1" i="0" u="none" strike="noStrike" baseline="0">
                <a:solidFill>
                  <a:srgbClr val="000000"/>
                </a:solidFill>
                <a:latin typeface="Arial Cyr"/>
                <a:ea typeface="Arial Cyr"/>
                <a:cs typeface="Arial Cyr"/>
              </a:defRPr>
            </a:pPr>
            <a:endParaRPr lang="ru-RU"/>
          </a:p>
        </c:txPr>
      </c:legendEntry>
      <c:layout>
        <c:manualLayout>
          <c:xMode val="edge"/>
          <c:yMode val="edge"/>
          <c:x val="0.66000030697917356"/>
          <c:y val="0.46814592317649667"/>
          <c:w val="0.26342404567850081"/>
          <c:h val="0.22930249522624391"/>
        </c:manualLayout>
      </c:layout>
      <c:overlay val="0"/>
      <c:spPr>
        <a:noFill/>
        <a:ln w="3175">
          <a:solidFill>
            <a:srgbClr val="000000"/>
          </a:solidFill>
          <a:prstDash val="solid"/>
        </a:ln>
      </c:spPr>
      <c:txPr>
        <a:bodyPr/>
        <a:lstStyle/>
        <a:p>
          <a:pPr>
            <a:defRPr lang="ru-RU" sz="12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5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98"/>
      <c:rotY val="20"/>
      <c:depthPercent val="200"/>
      <c:rAngAx val="1"/>
    </c:view3D>
    <c:floor>
      <c:thickness val="0"/>
      <c:spPr>
        <a:solidFill>
          <a:srgbClr val="CCFFFF"/>
        </a:solidFill>
        <a:ln w="3175">
          <a:solidFill>
            <a:srgbClr val="000000"/>
          </a:solidFill>
          <a:prstDash val="solid"/>
        </a:ln>
      </c:spPr>
    </c:floor>
    <c:sideWall>
      <c:thickness val="0"/>
      <c:spPr>
        <a:solidFill>
          <a:srgbClr val="CCFFFF"/>
        </a:solidFill>
        <a:ln w="12700">
          <a:solidFill>
            <a:srgbClr val="808080"/>
          </a:solidFill>
          <a:prstDash val="solid"/>
        </a:ln>
      </c:spPr>
    </c:sideWall>
    <c:backWall>
      <c:thickness val="0"/>
      <c:spPr>
        <a:solidFill>
          <a:srgbClr val="CCFFFF"/>
        </a:solidFill>
        <a:ln w="12700">
          <a:solidFill>
            <a:srgbClr val="808080"/>
          </a:solidFill>
          <a:prstDash val="solid"/>
        </a:ln>
      </c:spPr>
    </c:backWall>
    <c:plotArea>
      <c:layout>
        <c:manualLayout>
          <c:layoutTarget val="inner"/>
          <c:xMode val="edge"/>
          <c:yMode val="edge"/>
          <c:x val="8.1395348837209877E-2"/>
          <c:y val="2.1377672209026276E-2"/>
          <c:w val="0.53197674418604646"/>
          <c:h val="0.82185273159144889"/>
        </c:manualLayout>
      </c:layout>
      <c:bar3DChart>
        <c:barDir val="col"/>
        <c:grouping val="clustered"/>
        <c:varyColors val="0"/>
        <c:ser>
          <c:idx val="0"/>
          <c:order val="0"/>
          <c:tx>
            <c:strRef>
              <c:f>Sheet1!$A$2</c:f>
              <c:strCache>
                <c:ptCount val="1"/>
                <c:pt idx="0">
                  <c:v>менше 3 %</c:v>
                </c:pt>
              </c:strCache>
            </c:strRef>
          </c:tx>
          <c:spPr>
            <a:solidFill>
              <a:srgbClr val="FFFF00"/>
            </a:solidFill>
            <a:ln w="12682">
              <a:solidFill>
                <a:srgbClr val="000000"/>
              </a:solidFill>
              <a:prstDash val="solid"/>
            </a:ln>
          </c:spPr>
          <c:invertIfNegative val="0"/>
          <c:dLbls>
            <c:spPr>
              <a:noFill/>
              <a:ln w="25364">
                <a:noFill/>
              </a:ln>
            </c:spPr>
            <c:txPr>
              <a:bodyPr/>
              <a:lstStyle/>
              <a:p>
                <a:pPr>
                  <a:defRPr lang="ru-RU" sz="1050"/>
                </a:pPr>
                <a:endParaRPr lang="ru-RU"/>
              </a:p>
            </c:txPr>
            <c:showLegendKey val="0"/>
            <c:showVal val="1"/>
            <c:showCatName val="0"/>
            <c:showSerName val="0"/>
            <c:showPercent val="0"/>
            <c:showBubbleSize val="0"/>
            <c:showLeaderLines val="0"/>
          </c:dLbls>
          <c:cat>
            <c:strRef>
              <c:f>Sheet1!$B$1:$F$1</c:f>
              <c:strCache>
                <c:ptCount val="5"/>
                <c:pt idx="0">
                  <c:v>2009рік</c:v>
                </c:pt>
                <c:pt idx="1">
                  <c:v>2010 рік</c:v>
                </c:pt>
                <c:pt idx="2">
                  <c:v>2011 рік</c:v>
                </c:pt>
                <c:pt idx="3">
                  <c:v>2012 рік</c:v>
                </c:pt>
                <c:pt idx="4">
                  <c:v>2013 рік </c:v>
                </c:pt>
              </c:strCache>
            </c:strRef>
          </c:cat>
          <c:val>
            <c:numRef>
              <c:f>Sheet1!$B$2:$F$2</c:f>
              <c:numCache>
                <c:formatCode>General</c:formatCode>
                <c:ptCount val="5"/>
                <c:pt idx="0">
                  <c:v>5638.08</c:v>
                </c:pt>
                <c:pt idx="1">
                  <c:v>4469.71</c:v>
                </c:pt>
                <c:pt idx="2">
                  <c:v>703.68000000000052</c:v>
                </c:pt>
                <c:pt idx="3">
                  <c:v>208.54</c:v>
                </c:pt>
                <c:pt idx="4">
                  <c:v>170.08</c:v>
                </c:pt>
              </c:numCache>
            </c:numRef>
          </c:val>
        </c:ser>
        <c:ser>
          <c:idx val="1"/>
          <c:order val="1"/>
          <c:tx>
            <c:strRef>
              <c:f>Sheet1!$A$3</c:f>
              <c:strCache>
                <c:ptCount val="1"/>
                <c:pt idx="0">
                  <c:v>3 % і більше</c:v>
                </c:pt>
              </c:strCache>
            </c:strRef>
          </c:tx>
          <c:spPr>
            <a:solidFill>
              <a:srgbClr val="3366FF"/>
            </a:solidFill>
            <a:ln w="12682">
              <a:solidFill>
                <a:srgbClr val="000000"/>
              </a:solidFill>
              <a:prstDash val="solid"/>
            </a:ln>
          </c:spPr>
          <c:invertIfNegative val="0"/>
          <c:dLbls>
            <c:spPr>
              <a:noFill/>
              <a:ln w="25364">
                <a:noFill/>
              </a:ln>
            </c:spPr>
            <c:txPr>
              <a:bodyPr/>
              <a:lstStyle/>
              <a:p>
                <a:pPr>
                  <a:defRPr lang="ru-RU" sz="1050"/>
                </a:pPr>
                <a:endParaRPr lang="ru-RU"/>
              </a:p>
            </c:txPr>
            <c:showLegendKey val="0"/>
            <c:showVal val="1"/>
            <c:showCatName val="0"/>
            <c:showSerName val="0"/>
            <c:showPercent val="0"/>
            <c:showBubbleSize val="0"/>
            <c:showLeaderLines val="0"/>
          </c:dLbls>
          <c:cat>
            <c:strRef>
              <c:f>Sheet1!$B$1:$F$1</c:f>
              <c:strCache>
                <c:ptCount val="5"/>
                <c:pt idx="0">
                  <c:v>2009рік</c:v>
                </c:pt>
                <c:pt idx="1">
                  <c:v>2010 рік</c:v>
                </c:pt>
                <c:pt idx="2">
                  <c:v>2011 рік</c:v>
                </c:pt>
                <c:pt idx="3">
                  <c:v>2012 рік</c:v>
                </c:pt>
                <c:pt idx="4">
                  <c:v>2013 рік </c:v>
                </c:pt>
              </c:strCache>
            </c:strRef>
          </c:cat>
          <c:val>
            <c:numRef>
              <c:f>Sheet1!$B$3:$F$3</c:f>
              <c:numCache>
                <c:formatCode>General</c:formatCode>
                <c:ptCount val="5"/>
                <c:pt idx="0">
                  <c:v>667.48</c:v>
                </c:pt>
                <c:pt idx="1">
                  <c:v>1625.24</c:v>
                </c:pt>
                <c:pt idx="2">
                  <c:v>4240.96</c:v>
                </c:pt>
                <c:pt idx="3">
                  <c:v>4822.24</c:v>
                </c:pt>
                <c:pt idx="4">
                  <c:v>4268.13</c:v>
                </c:pt>
              </c:numCache>
            </c:numRef>
          </c:val>
        </c:ser>
        <c:dLbls>
          <c:showLegendKey val="0"/>
          <c:showVal val="0"/>
          <c:showCatName val="0"/>
          <c:showSerName val="0"/>
          <c:showPercent val="0"/>
          <c:showBubbleSize val="0"/>
        </c:dLbls>
        <c:gapWidth val="80"/>
        <c:gapDepth val="100"/>
        <c:shape val="box"/>
        <c:axId val="277555456"/>
        <c:axId val="277565440"/>
        <c:axId val="0"/>
      </c:bar3DChart>
      <c:catAx>
        <c:axId val="277555456"/>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lang="ru-RU" sz="1000"/>
            </a:pPr>
            <a:endParaRPr lang="ru-RU"/>
          </a:p>
        </c:txPr>
        <c:crossAx val="277565440"/>
        <c:crosses val="autoZero"/>
        <c:auto val="1"/>
        <c:lblAlgn val="ctr"/>
        <c:lblOffset val="100"/>
        <c:tickLblSkip val="1"/>
        <c:tickMarkSkip val="1"/>
        <c:noMultiLvlLbl val="0"/>
      </c:catAx>
      <c:valAx>
        <c:axId val="277565440"/>
        <c:scaling>
          <c:orientation val="minMax"/>
        </c:scaling>
        <c:delete val="0"/>
        <c:axPos val="l"/>
        <c:majorGridlines>
          <c:spPr>
            <a:ln w="3170">
              <a:solidFill>
                <a:srgbClr val="000000"/>
              </a:solidFill>
              <a:prstDash val="solid"/>
            </a:ln>
          </c:spPr>
        </c:majorGridlines>
        <c:numFmt formatCode="General" sourceLinked="1"/>
        <c:majorTickMark val="out"/>
        <c:minorTickMark val="none"/>
        <c:tickLblPos val="nextTo"/>
        <c:spPr>
          <a:ln w="3170">
            <a:solidFill>
              <a:srgbClr val="000000"/>
            </a:solidFill>
            <a:prstDash val="solid"/>
          </a:ln>
        </c:spPr>
        <c:txPr>
          <a:bodyPr rot="0" vert="horz"/>
          <a:lstStyle/>
          <a:p>
            <a:pPr>
              <a:defRPr lang="ru-RU" sz="1000"/>
            </a:pPr>
            <a:endParaRPr lang="ru-RU"/>
          </a:p>
        </c:txPr>
        <c:crossAx val="277555456"/>
        <c:crosses val="autoZero"/>
        <c:crossBetween val="between"/>
        <c:majorUnit val="1000"/>
        <c:minorUnit val="1000"/>
      </c:valAx>
      <c:spPr>
        <a:noFill/>
        <a:ln w="25364">
          <a:noFill/>
        </a:ln>
      </c:spPr>
    </c:plotArea>
    <c:legend>
      <c:legendPos val="r"/>
      <c:layout>
        <c:manualLayout>
          <c:xMode val="edge"/>
          <c:yMode val="edge"/>
          <c:x val="0.62720425370071264"/>
          <c:y val="0.36314302939510751"/>
          <c:w val="0.27906069130168004"/>
          <c:h val="0.20427553444180521"/>
        </c:manualLayout>
      </c:layout>
      <c:overlay val="0"/>
      <c:spPr>
        <a:noFill/>
        <a:ln w="3170">
          <a:solidFill>
            <a:srgbClr val="000000"/>
          </a:solidFill>
          <a:prstDash val="solid"/>
        </a:ln>
      </c:spPr>
      <c:txPr>
        <a:bodyPr/>
        <a:lstStyle/>
        <a:p>
          <a:pPr>
            <a:defRPr lang="ru-RU" sz="1000"/>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ru-RU" sz="1200" b="1" i="0" u="none" strike="noStrike" baseline="0">
                <a:solidFill>
                  <a:srgbClr val="000000"/>
                </a:solidFill>
                <a:latin typeface="Arial Cyr"/>
                <a:ea typeface="Arial Cyr"/>
                <a:cs typeface="Arial Cyr"/>
              </a:defRPr>
            </a:pPr>
            <a:r>
              <a:rPr lang="ru-RU" sz="1200"/>
              <a:t>Динаміка нарахувань державної допомоги сім’ям з дітьми по Недригайлівському району, тис.грн..</a:t>
            </a:r>
          </a:p>
        </c:rich>
      </c:tx>
      <c:layout>
        <c:manualLayout>
          <c:xMode val="edge"/>
          <c:yMode val="edge"/>
          <c:x val="0.12759643916914001"/>
          <c:y val="1.986754966887426E-2"/>
        </c:manualLayout>
      </c:layout>
      <c:overlay val="0"/>
      <c:spPr>
        <a:noFill/>
        <a:ln w="25399">
          <a:noFill/>
        </a:ln>
      </c:spPr>
    </c:title>
    <c:autoTitleDeleted val="0"/>
    <c:view3D>
      <c:rotX val="15"/>
      <c:hPercent val="3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0445103857566793E-2"/>
          <c:y val="0.18874172185430532"/>
          <c:w val="0.87982195845697631"/>
          <c:h val="0.7185430463576159"/>
        </c:manualLayout>
      </c:layout>
      <c:bar3DChart>
        <c:barDir val="col"/>
        <c:grouping val="clustered"/>
        <c:varyColors val="0"/>
        <c:ser>
          <c:idx val="0"/>
          <c:order val="0"/>
          <c:spPr>
            <a:solidFill>
              <a:srgbClr val="9999FF"/>
            </a:solidFill>
            <a:ln w="12699">
              <a:solidFill>
                <a:srgbClr val="000000"/>
              </a:solidFill>
              <a:prstDash val="solid"/>
            </a:ln>
          </c:spPr>
          <c:invertIfNegative val="0"/>
          <c:dLbls>
            <c:spPr>
              <a:noFill/>
              <a:ln w="25399">
                <a:noFill/>
              </a:ln>
            </c:spPr>
            <c:txPr>
              <a:bodyPr/>
              <a:lstStyle/>
              <a:p>
                <a:pPr>
                  <a:defRPr lang="ru-RU" sz="8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Лист1!$A$1:$C$1</c:f>
              <c:numCache>
                <c:formatCode>General</c:formatCode>
                <c:ptCount val="3"/>
                <c:pt idx="0">
                  <c:v>2011</c:v>
                </c:pt>
                <c:pt idx="1">
                  <c:v>2012</c:v>
                </c:pt>
                <c:pt idx="2">
                  <c:v>2013</c:v>
                </c:pt>
              </c:numCache>
            </c:numRef>
          </c:cat>
          <c:val>
            <c:numRef>
              <c:f>Лист1!$A$2:$C$2</c:f>
              <c:numCache>
                <c:formatCode>General</c:formatCode>
                <c:ptCount val="3"/>
                <c:pt idx="0">
                  <c:v>9176.7999999999811</c:v>
                </c:pt>
                <c:pt idx="1">
                  <c:v>10797.3</c:v>
                </c:pt>
                <c:pt idx="2">
                  <c:v>12177.9</c:v>
                </c:pt>
              </c:numCache>
            </c:numRef>
          </c:val>
        </c:ser>
        <c:dLbls>
          <c:showLegendKey val="0"/>
          <c:showVal val="1"/>
          <c:showCatName val="0"/>
          <c:showSerName val="0"/>
          <c:showPercent val="0"/>
          <c:showBubbleSize val="0"/>
        </c:dLbls>
        <c:gapWidth val="150"/>
        <c:shape val="cylinder"/>
        <c:axId val="277572608"/>
        <c:axId val="277755776"/>
        <c:axId val="0"/>
      </c:bar3DChart>
      <c:catAx>
        <c:axId val="27757260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7755776"/>
        <c:crosses val="autoZero"/>
        <c:auto val="0"/>
        <c:lblAlgn val="ctr"/>
        <c:lblOffset val="100"/>
        <c:tickLblSkip val="1"/>
        <c:tickMarkSkip val="1"/>
        <c:noMultiLvlLbl val="0"/>
      </c:catAx>
      <c:valAx>
        <c:axId val="27775577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7572608"/>
        <c:crosses val="autoZero"/>
        <c:crossBetween val="between"/>
      </c:valAx>
      <c:spPr>
        <a:noFill/>
        <a:ln w="25399">
          <a:noFill/>
        </a:ln>
      </c:spPr>
    </c:plotArea>
    <c:legend>
      <c:legendPos val="r"/>
      <c:layout>
        <c:manualLayout>
          <c:xMode val="edge"/>
          <c:yMode val="edge"/>
          <c:x val="0.90933256137100338"/>
          <c:y val="0.57355146140712998"/>
          <c:w val="4.7477744807121906E-2"/>
          <c:h val="4.6357615894039833E-2"/>
        </c:manualLayout>
      </c:layout>
      <c:overlay val="0"/>
      <c:spPr>
        <a:solidFill>
          <a:srgbClr val="FFFFFF"/>
        </a:solidFill>
        <a:ln w="3175">
          <a:solidFill>
            <a:srgbClr val="000000"/>
          </a:solidFill>
          <a:prstDash val="solid"/>
        </a:ln>
      </c:spPr>
      <c:txPr>
        <a:bodyPr/>
        <a:lstStyle/>
        <a:p>
          <a:pPr>
            <a:defRPr lang="ru-RU" sz="8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5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ru-RU" sz="1200" b="1" i="0" u="none" strike="noStrike" baseline="0">
                <a:solidFill>
                  <a:srgbClr val="000000"/>
                </a:solidFill>
                <a:latin typeface="Arial Cyr"/>
                <a:ea typeface="Arial Cyr"/>
                <a:cs typeface="Arial Cyr"/>
              </a:defRPr>
            </a:pPr>
            <a:r>
              <a:rPr lang="ru-RU" sz="1200"/>
              <a:t>Динаміка нарахувань державної соціальної допомоги  малозабезпеченим сім’ям  Недригайлівського району, тис.грн..</a:t>
            </a:r>
          </a:p>
          <a:p>
            <a:pPr>
              <a:defRPr lang="ru-RU" sz="1200" b="1" i="0" u="none" strike="noStrike" baseline="0">
                <a:solidFill>
                  <a:srgbClr val="000000"/>
                </a:solidFill>
                <a:latin typeface="Arial Cyr"/>
                <a:ea typeface="Arial Cyr"/>
                <a:cs typeface="Arial Cyr"/>
              </a:defRPr>
            </a:pPr>
            <a:endParaRPr lang="ru-RU" sz="1200"/>
          </a:p>
          <a:p>
            <a:pPr>
              <a:defRPr lang="ru-RU" sz="1200" b="1" i="0" u="none" strike="noStrike" baseline="0">
                <a:solidFill>
                  <a:srgbClr val="000000"/>
                </a:solidFill>
                <a:latin typeface="Arial Cyr"/>
                <a:ea typeface="Arial Cyr"/>
                <a:cs typeface="Arial Cyr"/>
              </a:defRPr>
            </a:pPr>
            <a:r>
              <a:rPr lang="ru-RU" sz="1200"/>
              <a:t> </a:t>
            </a:r>
          </a:p>
        </c:rich>
      </c:tx>
      <c:layout>
        <c:manualLayout>
          <c:xMode val="edge"/>
          <c:yMode val="edge"/>
          <c:x val="9.4186466621619766E-2"/>
          <c:y val="1.4775815744925407E-3"/>
        </c:manualLayout>
      </c:layout>
      <c:overlay val="0"/>
      <c:spPr>
        <a:noFill/>
        <a:ln w="25400">
          <a:noFill/>
        </a:ln>
      </c:spPr>
    </c:title>
    <c:autoTitleDeleted val="0"/>
    <c:view3D>
      <c:rotX val="15"/>
      <c:hPercent val="3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4.1666666666666664E-2"/>
          <c:y val="0.19787985865724381"/>
          <c:w val="0.89102564102564108"/>
          <c:h val="0.7067137809187275"/>
        </c:manualLayout>
      </c:layout>
      <c:bar3DChart>
        <c:barDir val="col"/>
        <c:grouping val="clustered"/>
        <c:varyColors val="0"/>
        <c:ser>
          <c:idx val="0"/>
          <c:order val="0"/>
          <c:spPr>
            <a:solidFill>
              <a:srgbClr val="9999FF"/>
            </a:solidFill>
            <a:ln w="12700">
              <a:solidFill>
                <a:srgbClr val="000000"/>
              </a:solidFill>
              <a:prstDash val="solid"/>
            </a:ln>
          </c:spPr>
          <c:invertIfNegative val="0"/>
          <c:dLbls>
            <c:spPr>
              <a:noFill/>
              <a:ln w="25400">
                <a:noFill/>
              </a:ln>
            </c:spPr>
            <c:txPr>
              <a:bodyPr/>
              <a:lstStyle/>
              <a:p>
                <a:pPr>
                  <a:defRPr lang="ru-RU" sz="75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Лист1!$A$2:$C$2</c:f>
              <c:strCache>
                <c:ptCount val="3"/>
                <c:pt idx="0">
                  <c:v>Нараховано 2011 рік</c:v>
                </c:pt>
                <c:pt idx="1">
                  <c:v>Нараховано 2012 рік</c:v>
                </c:pt>
                <c:pt idx="2">
                  <c:v>Нараховано 2013 рік</c:v>
                </c:pt>
              </c:strCache>
            </c:strRef>
          </c:cat>
          <c:val>
            <c:numRef>
              <c:f>Лист1!$A$3:$C$3</c:f>
              <c:numCache>
                <c:formatCode>General</c:formatCode>
                <c:ptCount val="3"/>
                <c:pt idx="0">
                  <c:v>798.6</c:v>
                </c:pt>
                <c:pt idx="1">
                  <c:v>1532</c:v>
                </c:pt>
                <c:pt idx="2">
                  <c:v>2599.5</c:v>
                </c:pt>
              </c:numCache>
            </c:numRef>
          </c:val>
        </c:ser>
        <c:dLbls>
          <c:showLegendKey val="0"/>
          <c:showVal val="1"/>
          <c:showCatName val="0"/>
          <c:showSerName val="0"/>
          <c:showPercent val="0"/>
          <c:showBubbleSize val="0"/>
        </c:dLbls>
        <c:gapWidth val="150"/>
        <c:shape val="cylinder"/>
        <c:axId val="277800448"/>
        <c:axId val="277803392"/>
        <c:axId val="0"/>
      </c:bar3DChart>
      <c:catAx>
        <c:axId val="27780044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7803392"/>
        <c:crosses val="autoZero"/>
        <c:auto val="0"/>
        <c:lblAlgn val="ctr"/>
        <c:lblOffset val="100"/>
        <c:tickLblSkip val="1"/>
        <c:tickMarkSkip val="1"/>
        <c:noMultiLvlLbl val="0"/>
      </c:catAx>
      <c:valAx>
        <c:axId val="277803392"/>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7800448"/>
        <c:crosses val="autoZero"/>
        <c:crossBetween val="between"/>
      </c:valAx>
      <c:spPr>
        <a:noFill/>
        <a:ln w="25400">
          <a:noFill/>
        </a:ln>
      </c:spPr>
    </c:plotArea>
    <c:legend>
      <c:legendPos val="r"/>
      <c:layout>
        <c:manualLayout>
          <c:xMode val="edge"/>
          <c:yMode val="edge"/>
          <c:x val="0.89529408823897061"/>
          <c:y val="0.56183745583038869"/>
          <c:w val="9.8295713035870563E-2"/>
          <c:h val="4.5936395759717412E-2"/>
        </c:manualLayout>
      </c:layout>
      <c:overlay val="0"/>
      <c:spPr>
        <a:solidFill>
          <a:srgbClr val="FFFFFF"/>
        </a:solidFill>
        <a:ln w="3175">
          <a:solidFill>
            <a:srgbClr val="000000"/>
          </a:solidFill>
          <a:prstDash val="solid"/>
        </a:ln>
      </c:spPr>
      <c:txPr>
        <a:bodyPr/>
        <a:lstStyle/>
        <a:p>
          <a:pPr>
            <a:defRPr lang="ru-RU" sz="8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4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ru-RU" sz="1200" b="1" i="0" u="none" strike="noStrike" baseline="0">
                <a:solidFill>
                  <a:srgbClr val="000000"/>
                </a:solidFill>
                <a:latin typeface="Arial Cyr"/>
                <a:ea typeface="Arial Cyr"/>
                <a:cs typeface="Arial Cyr"/>
              </a:defRPr>
            </a:pPr>
            <a:r>
              <a:rPr lang="ru-RU" sz="1200"/>
              <a:t>Динаміка нарахувань по субсидіях на житлово – комунальні послуги, тис.грн..</a:t>
            </a:r>
          </a:p>
        </c:rich>
      </c:tx>
      <c:layout>
        <c:manualLayout>
          <c:xMode val="edge"/>
          <c:yMode val="edge"/>
          <c:x val="0.13621262458471761"/>
          <c:y val="1.9230769230769308E-2"/>
        </c:manualLayout>
      </c:layout>
      <c:overlay val="0"/>
      <c:spPr>
        <a:noFill/>
        <a:ln w="25399">
          <a:noFill/>
        </a:ln>
      </c:spPr>
    </c:title>
    <c:autoTitleDeleted val="0"/>
    <c:view3D>
      <c:rotX val="15"/>
      <c:hPercent val="3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4.3189368770763792E-2"/>
          <c:y val="0.15384615384615458"/>
          <c:w val="0.8870431893687708"/>
          <c:h val="0.74230769230769422"/>
        </c:manualLayout>
      </c:layout>
      <c:bar3DChart>
        <c:barDir val="col"/>
        <c:grouping val="clustered"/>
        <c:varyColors val="0"/>
        <c:ser>
          <c:idx val="0"/>
          <c:order val="0"/>
          <c:spPr>
            <a:solidFill>
              <a:srgbClr val="9999FF"/>
            </a:solidFill>
            <a:ln w="12700">
              <a:solidFill>
                <a:srgbClr val="000000"/>
              </a:solidFill>
              <a:prstDash val="solid"/>
            </a:ln>
          </c:spPr>
          <c:invertIfNegative val="0"/>
          <c:dLbls>
            <c:spPr>
              <a:noFill/>
              <a:ln w="25399">
                <a:noFill/>
              </a:ln>
            </c:spPr>
            <c:txPr>
              <a:bodyPr/>
              <a:lstStyle/>
              <a:p>
                <a:pPr>
                  <a:defRPr lang="ru-RU" sz="7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Лист1!$A$1:$C$1</c:f>
              <c:numCache>
                <c:formatCode>General</c:formatCode>
                <c:ptCount val="3"/>
                <c:pt idx="0">
                  <c:v>2011</c:v>
                </c:pt>
                <c:pt idx="1">
                  <c:v>2012</c:v>
                </c:pt>
                <c:pt idx="2">
                  <c:v>2013</c:v>
                </c:pt>
              </c:numCache>
            </c:numRef>
          </c:cat>
          <c:val>
            <c:numRef>
              <c:f>Лист1!$A$2:$C$2</c:f>
              <c:numCache>
                <c:formatCode>General</c:formatCode>
                <c:ptCount val="3"/>
                <c:pt idx="0">
                  <c:v>2036.4</c:v>
                </c:pt>
                <c:pt idx="1">
                  <c:v>2400.6999999999998</c:v>
                </c:pt>
                <c:pt idx="2">
                  <c:v>2450</c:v>
                </c:pt>
              </c:numCache>
            </c:numRef>
          </c:val>
        </c:ser>
        <c:dLbls>
          <c:showLegendKey val="0"/>
          <c:showVal val="1"/>
          <c:showCatName val="0"/>
          <c:showSerName val="0"/>
          <c:showPercent val="0"/>
          <c:showBubbleSize val="0"/>
        </c:dLbls>
        <c:gapWidth val="150"/>
        <c:shape val="cylinder"/>
        <c:axId val="277590016"/>
        <c:axId val="277592704"/>
        <c:axId val="0"/>
      </c:bar3DChart>
      <c:catAx>
        <c:axId val="2775900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7592704"/>
        <c:crosses val="autoZero"/>
        <c:auto val="0"/>
        <c:lblAlgn val="ctr"/>
        <c:lblOffset val="100"/>
        <c:tickLblSkip val="1"/>
        <c:tickMarkSkip val="1"/>
        <c:noMultiLvlLbl val="0"/>
      </c:catAx>
      <c:valAx>
        <c:axId val="277592704"/>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7590016"/>
        <c:crosses val="autoZero"/>
        <c:crossBetween val="between"/>
      </c:valAx>
      <c:spPr>
        <a:noFill/>
        <a:ln w="25399">
          <a:noFill/>
        </a:ln>
      </c:spPr>
    </c:plotArea>
    <c:legend>
      <c:legendPos val="r"/>
      <c:layout>
        <c:manualLayout>
          <c:xMode val="edge"/>
          <c:yMode val="edge"/>
          <c:x val="0.8768437251532486"/>
          <c:y val="0.5346153846153846"/>
          <c:w val="0.11651166568348342"/>
          <c:h val="0.05"/>
        </c:manualLayout>
      </c:layout>
      <c:overlay val="0"/>
      <c:spPr>
        <a:solidFill>
          <a:srgbClr val="FFFFFF"/>
        </a:solidFill>
        <a:ln w="3175">
          <a:solidFill>
            <a:srgbClr val="000000"/>
          </a:solidFill>
          <a:prstDash val="solid"/>
        </a:ln>
      </c:spPr>
      <c:txPr>
        <a:bodyPr/>
        <a:lstStyle/>
        <a:p>
          <a:pPr>
            <a:defRPr lang="ru-RU" sz="8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45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ru-RU" sz="1200" b="1" i="0" u="none" strike="noStrike" baseline="0">
                <a:solidFill>
                  <a:srgbClr val="000000"/>
                </a:solidFill>
                <a:latin typeface="Arial Cyr"/>
                <a:ea typeface="Arial Cyr"/>
                <a:cs typeface="Arial Cyr"/>
              </a:defRPr>
            </a:pPr>
            <a:r>
              <a:rPr lang="ru-RU" sz="1200"/>
              <a:t>Динаміка нарахувань пільг, тис.грн.</a:t>
            </a:r>
          </a:p>
        </c:rich>
      </c:tx>
      <c:layout>
        <c:manualLayout>
          <c:xMode val="edge"/>
          <c:yMode val="edge"/>
          <c:x val="0.20639652997920716"/>
          <c:y val="2.5353085101650432E-2"/>
        </c:manualLayout>
      </c:layout>
      <c:overlay val="0"/>
      <c:spPr>
        <a:noFill/>
        <a:ln w="25400">
          <a:noFill/>
        </a:ln>
      </c:spPr>
    </c:title>
    <c:autoTitleDeleted val="0"/>
    <c:view3D>
      <c:rotX val="15"/>
      <c:hPercent val="3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3.8805970149253868E-2"/>
          <c:y val="0.14583333333333384"/>
          <c:w val="0.88805970149253732"/>
          <c:h val="0.60069444444444731"/>
        </c:manualLayout>
      </c:layout>
      <c:bar3DChart>
        <c:barDir val="col"/>
        <c:grouping val="clustered"/>
        <c:varyColors val="0"/>
        <c:ser>
          <c:idx val="0"/>
          <c:order val="0"/>
          <c:spPr>
            <a:solidFill>
              <a:srgbClr val="9999FF"/>
            </a:solidFill>
            <a:ln w="12700">
              <a:solidFill>
                <a:srgbClr val="000000"/>
              </a:solidFill>
              <a:prstDash val="solid"/>
            </a:ln>
          </c:spPr>
          <c:invertIfNegative val="0"/>
          <c:dLbls>
            <c:spPr>
              <a:noFill/>
              <a:ln w="25400">
                <a:noFill/>
              </a:ln>
            </c:spPr>
            <c:txPr>
              <a:bodyPr/>
              <a:lstStyle/>
              <a:p>
                <a:pPr>
                  <a:defRPr lang="ru-RU" sz="77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multiLvlStrRef>
              <c:f>Лист1!$A$1:$F$2</c:f>
              <c:multiLvlStrCache>
                <c:ptCount val="6"/>
                <c:lvl>
                  <c:pt idx="0">
                    <c:v>Чисельність  пільговиків,
осіб
</c:v>
                  </c:pt>
                  <c:pt idx="1">
                    <c:v>Нараховано,
 тис.грн..
</c:v>
                  </c:pt>
                  <c:pt idx="2">
                    <c:v>Чисельність  пільговиків,
осіб
</c:v>
                  </c:pt>
                  <c:pt idx="3">
                    <c:v>Нараховано,
 тис.грн..
</c:v>
                  </c:pt>
                  <c:pt idx="4">
                    <c:v>Чисельність  пільговиків,
осіб
</c:v>
                  </c:pt>
                  <c:pt idx="5">
                    <c:v>Нараховано,
 тис.грн..
</c:v>
                  </c:pt>
                </c:lvl>
                <c:lvl>
                  <c:pt idx="0">
                    <c:v>2011</c:v>
                  </c:pt>
                  <c:pt idx="2">
                    <c:v>2012</c:v>
                  </c:pt>
                  <c:pt idx="4">
                    <c:v>2013</c:v>
                  </c:pt>
                </c:lvl>
              </c:multiLvlStrCache>
            </c:multiLvlStrRef>
          </c:cat>
          <c:val>
            <c:numRef>
              <c:f>Лист1!$A$3:$F$3</c:f>
              <c:numCache>
                <c:formatCode>General</c:formatCode>
                <c:ptCount val="6"/>
                <c:pt idx="0">
                  <c:v>8730</c:v>
                </c:pt>
                <c:pt idx="1">
                  <c:v>4531.3</c:v>
                </c:pt>
                <c:pt idx="2">
                  <c:v>8382</c:v>
                </c:pt>
                <c:pt idx="3">
                  <c:v>4500.8</c:v>
                </c:pt>
                <c:pt idx="4">
                  <c:v>8068</c:v>
                </c:pt>
                <c:pt idx="5">
                  <c:v>4324</c:v>
                </c:pt>
              </c:numCache>
            </c:numRef>
          </c:val>
        </c:ser>
        <c:dLbls>
          <c:showLegendKey val="0"/>
          <c:showVal val="1"/>
          <c:showCatName val="0"/>
          <c:showSerName val="0"/>
          <c:showPercent val="0"/>
          <c:showBubbleSize val="0"/>
        </c:dLbls>
        <c:gapWidth val="150"/>
        <c:shape val="cylinder"/>
        <c:axId val="277883136"/>
        <c:axId val="278561920"/>
        <c:axId val="0"/>
      </c:bar3DChart>
      <c:catAx>
        <c:axId val="27788313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sz="600" b="1" i="0" u="none" strike="noStrike" baseline="0">
                <a:solidFill>
                  <a:srgbClr val="000000"/>
                </a:solidFill>
                <a:latin typeface="BrowalliaUPC" pitchFamily="34" charset="-34"/>
                <a:ea typeface="Arial Cyr"/>
                <a:cs typeface="BrowalliaUPC" pitchFamily="34" charset="-34"/>
              </a:defRPr>
            </a:pPr>
            <a:endParaRPr lang="ru-RU"/>
          </a:p>
        </c:txPr>
        <c:crossAx val="278561920"/>
        <c:crosses val="autoZero"/>
        <c:auto val="0"/>
        <c:lblAlgn val="ctr"/>
        <c:lblOffset val="100"/>
        <c:tickLblSkip val="1"/>
        <c:tickMarkSkip val="1"/>
        <c:noMultiLvlLbl val="0"/>
      </c:catAx>
      <c:valAx>
        <c:axId val="278561920"/>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7883136"/>
        <c:crosses val="autoZero"/>
        <c:crossBetween val="between"/>
      </c:valAx>
      <c:spPr>
        <a:noFill/>
        <a:ln w="25400">
          <a:noFill/>
        </a:ln>
      </c:spPr>
    </c:plotArea>
    <c:legend>
      <c:legendPos val="r"/>
      <c:layout>
        <c:manualLayout>
          <c:xMode val="edge"/>
          <c:yMode val="edge"/>
          <c:x val="0.84328358208955223"/>
          <c:y val="0.5208333333333337"/>
          <c:w val="0.1328358208955224"/>
          <c:h val="7.6388888888888895E-2"/>
        </c:manualLayout>
      </c:layout>
      <c:overlay val="0"/>
      <c:spPr>
        <a:solidFill>
          <a:srgbClr val="FFFFFF"/>
        </a:solidFill>
        <a:ln w="3175">
          <a:solidFill>
            <a:srgbClr val="000000"/>
          </a:solidFill>
          <a:prstDash val="solid"/>
        </a:ln>
      </c:spPr>
      <c:txPr>
        <a:bodyPr/>
        <a:lstStyle/>
        <a:p>
          <a:pPr>
            <a:defRPr lang="ru-RU"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4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ru-RU" sz="1200" b="1" i="0" u="none" strike="noStrike" baseline="0">
                <a:solidFill>
                  <a:srgbClr val="000000"/>
                </a:solidFill>
                <a:latin typeface="Arial Cyr"/>
                <a:ea typeface="Arial Cyr"/>
                <a:cs typeface="Arial Cyr"/>
              </a:defRPr>
            </a:pPr>
            <a:r>
              <a:rPr lang="ru-RU" sz="1200"/>
              <a:t>Динаміка створення нових робочих місць по Недригайлівському району, одиниць</a:t>
            </a:r>
          </a:p>
          <a:p>
            <a:pPr>
              <a:defRPr lang="ru-RU" sz="1200" b="1" i="0" u="none" strike="noStrike" baseline="0">
                <a:solidFill>
                  <a:srgbClr val="000000"/>
                </a:solidFill>
                <a:latin typeface="Arial Cyr"/>
                <a:ea typeface="Arial Cyr"/>
                <a:cs typeface="Arial Cyr"/>
              </a:defRPr>
            </a:pPr>
            <a:endParaRPr lang="ru-RU" sz="1200"/>
          </a:p>
          <a:p>
            <a:pPr>
              <a:defRPr lang="ru-RU" sz="1200" b="1" i="0" u="none" strike="noStrike" baseline="0">
                <a:solidFill>
                  <a:srgbClr val="000000"/>
                </a:solidFill>
                <a:latin typeface="Arial Cyr"/>
                <a:ea typeface="Arial Cyr"/>
                <a:cs typeface="Arial Cyr"/>
              </a:defRPr>
            </a:pPr>
            <a:endParaRPr lang="ru-RU" sz="1200"/>
          </a:p>
        </c:rich>
      </c:tx>
      <c:layout>
        <c:manualLayout>
          <c:xMode val="edge"/>
          <c:yMode val="edge"/>
          <c:x val="0.15675143477878689"/>
          <c:y val="2.7879049365404744E-3"/>
        </c:manualLayout>
      </c:layout>
      <c:overlay val="0"/>
      <c:spPr>
        <a:noFill/>
        <a:ln w="25399">
          <a:noFill/>
        </a:ln>
      </c:spPr>
    </c:title>
    <c:autoTitleDeleted val="0"/>
    <c:view3D>
      <c:rotX val="15"/>
      <c:hPercent val="3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3.4379671150971604E-2"/>
          <c:y val="0.12631578947368419"/>
          <c:w val="0.89237668161434958"/>
          <c:h val="0.72280701754386334"/>
        </c:manualLayout>
      </c:layout>
      <c:bar3DChart>
        <c:barDir val="col"/>
        <c:grouping val="clustered"/>
        <c:varyColors val="0"/>
        <c:ser>
          <c:idx val="0"/>
          <c:order val="0"/>
          <c:spPr>
            <a:solidFill>
              <a:srgbClr val="9999FF"/>
            </a:solidFill>
            <a:ln w="12700">
              <a:solidFill>
                <a:srgbClr val="000000"/>
              </a:solidFill>
              <a:prstDash val="solid"/>
            </a:ln>
          </c:spPr>
          <c:invertIfNegative val="0"/>
          <c:dLbls>
            <c:spPr>
              <a:noFill/>
              <a:ln w="25399">
                <a:noFill/>
              </a:ln>
            </c:spPr>
            <c:txPr>
              <a:bodyPr/>
              <a:lstStyle/>
              <a:p>
                <a:pPr>
                  <a:defRPr lang="ru-RU" sz="77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multiLvlStrRef>
              <c:f>Лист1!$A$1:$G$2</c:f>
              <c:multiLvlStrCache>
                <c:ptCount val="7"/>
                <c:lvl>
                  <c:pt idx="0">
                    <c:v>завдання</c:v>
                  </c:pt>
                  <c:pt idx="1">
                    <c:v>фактично створено</c:v>
                  </c:pt>
                  <c:pt idx="2">
                    <c:v>завдання</c:v>
                  </c:pt>
                  <c:pt idx="3">
                    <c:v>фактично створено</c:v>
                  </c:pt>
                  <c:pt idx="4">
                    <c:v>завдання</c:v>
                  </c:pt>
                  <c:pt idx="5">
                    <c:v>фактично створено</c:v>
                  </c:pt>
                  <c:pt idx="6">
                    <c:v>завдання</c:v>
                  </c:pt>
                </c:lvl>
                <c:lvl>
                  <c:pt idx="0">
                    <c:v>2011</c:v>
                  </c:pt>
                  <c:pt idx="2">
                    <c:v>2012</c:v>
                  </c:pt>
                  <c:pt idx="4">
                    <c:v>2013</c:v>
                  </c:pt>
                  <c:pt idx="6">
                    <c:v>2014</c:v>
                  </c:pt>
                </c:lvl>
              </c:multiLvlStrCache>
            </c:multiLvlStrRef>
          </c:cat>
          <c:val>
            <c:numRef>
              <c:f>Лист1!$A$3:$G$3</c:f>
              <c:numCache>
                <c:formatCode>General</c:formatCode>
                <c:ptCount val="7"/>
                <c:pt idx="0">
                  <c:v>300</c:v>
                </c:pt>
                <c:pt idx="1">
                  <c:v>326</c:v>
                </c:pt>
                <c:pt idx="2">
                  <c:v>300</c:v>
                </c:pt>
                <c:pt idx="3">
                  <c:v>491</c:v>
                </c:pt>
                <c:pt idx="4">
                  <c:v>315</c:v>
                </c:pt>
                <c:pt idx="5">
                  <c:v>484</c:v>
                </c:pt>
                <c:pt idx="6">
                  <c:v>200</c:v>
                </c:pt>
              </c:numCache>
            </c:numRef>
          </c:val>
        </c:ser>
        <c:dLbls>
          <c:showLegendKey val="0"/>
          <c:showVal val="1"/>
          <c:showCatName val="0"/>
          <c:showSerName val="0"/>
          <c:showPercent val="0"/>
          <c:showBubbleSize val="0"/>
        </c:dLbls>
        <c:gapWidth val="150"/>
        <c:shape val="cylinder"/>
        <c:axId val="277918464"/>
        <c:axId val="277921152"/>
        <c:axId val="0"/>
      </c:bar3DChart>
      <c:catAx>
        <c:axId val="27791846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7921152"/>
        <c:crosses val="autoZero"/>
        <c:auto val="0"/>
        <c:lblAlgn val="ctr"/>
        <c:lblOffset val="100"/>
        <c:tickLblSkip val="1"/>
        <c:tickMarkSkip val="1"/>
        <c:noMultiLvlLbl val="0"/>
      </c:catAx>
      <c:valAx>
        <c:axId val="277921152"/>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7918464"/>
        <c:crosses val="autoZero"/>
        <c:crossBetween val="between"/>
      </c:valAx>
      <c:spPr>
        <a:noFill/>
        <a:ln w="25399">
          <a:noFill/>
        </a:ln>
      </c:spPr>
    </c:plotArea>
    <c:legend>
      <c:legendPos val="r"/>
      <c:layout>
        <c:manualLayout>
          <c:xMode val="edge"/>
          <c:yMode val="edge"/>
          <c:x val="0.84304932735426064"/>
          <c:y val="0.51228070175438556"/>
          <c:w val="0.13303437967115098"/>
          <c:h val="7.7192982456140674E-2"/>
        </c:manualLayout>
      </c:layout>
      <c:overlay val="0"/>
      <c:spPr>
        <a:solidFill>
          <a:srgbClr val="FFFFFF"/>
        </a:solidFill>
        <a:ln w="3175">
          <a:solidFill>
            <a:srgbClr val="000000"/>
          </a:solidFill>
          <a:prstDash val="solid"/>
        </a:ln>
      </c:spPr>
      <c:txPr>
        <a:bodyPr/>
        <a:lstStyle/>
        <a:p>
          <a:pPr>
            <a:defRPr lang="ru-RU"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4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ru-RU" sz="1100" b="1" i="0" u="none" strike="noStrike" baseline="0">
                <a:solidFill>
                  <a:srgbClr val="000000"/>
                </a:solidFill>
                <a:latin typeface="Arial Cyr"/>
                <a:ea typeface="Arial Cyr"/>
                <a:cs typeface="Arial Cyr"/>
              </a:defRPr>
            </a:pPr>
            <a:r>
              <a:rPr lang="ru-RU" sz="1100"/>
              <a:t>Динаміка номінальної середньомісячної заробітної плати та прожиткового мінімуму для працездатної особи по Недригайлівському району, грн..</a:t>
            </a:r>
          </a:p>
        </c:rich>
      </c:tx>
      <c:layout>
        <c:manualLayout>
          <c:xMode val="edge"/>
          <c:yMode val="edge"/>
          <c:x val="0.13204747774480721"/>
          <c:y val="1.986754966887426E-2"/>
        </c:manualLayout>
      </c:layout>
      <c:overlay val="0"/>
      <c:spPr>
        <a:noFill/>
        <a:ln w="25399">
          <a:noFill/>
        </a:ln>
      </c:spPr>
    </c:title>
    <c:autoTitleDeleted val="0"/>
    <c:view3D>
      <c:rotX val="15"/>
      <c:hPercent val="4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4.4510385756676582E-2"/>
          <c:y val="0.18874172185430532"/>
          <c:w val="0.68545994065281901"/>
          <c:h val="0.7185430463576159"/>
        </c:manualLayout>
      </c:layout>
      <c:bar3DChart>
        <c:barDir val="col"/>
        <c:grouping val="clustered"/>
        <c:varyColors val="0"/>
        <c:ser>
          <c:idx val="0"/>
          <c:order val="0"/>
          <c:tx>
            <c:strRef>
              <c:f>Лист1!$A$2</c:f>
              <c:strCache>
                <c:ptCount val="1"/>
                <c:pt idx="0">
                  <c:v>Прожитковий мінімум</c:v>
                </c:pt>
              </c:strCache>
            </c:strRef>
          </c:tx>
          <c:spPr>
            <a:solidFill>
              <a:srgbClr val="9999FF"/>
            </a:solidFill>
            <a:ln w="12699">
              <a:solidFill>
                <a:srgbClr val="000000"/>
              </a:solidFill>
              <a:prstDash val="solid"/>
            </a:ln>
          </c:spPr>
          <c:invertIfNegative val="0"/>
          <c:dLbls>
            <c:spPr>
              <a:noFill/>
              <a:ln w="25399">
                <a:noFill/>
              </a:ln>
            </c:spPr>
            <c:txPr>
              <a:bodyPr/>
              <a:lstStyle/>
              <a:p>
                <a:pPr>
                  <a:defRPr lang="ru-RU" sz="7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Лист1!$B$1:$E$1</c:f>
              <c:strCache>
                <c:ptCount val="4"/>
                <c:pt idx="0">
                  <c:v>2011 рік</c:v>
                </c:pt>
                <c:pt idx="1">
                  <c:v>2012 рік</c:v>
                </c:pt>
                <c:pt idx="2">
                  <c:v>2013 рік</c:v>
                </c:pt>
                <c:pt idx="3">
                  <c:v>2014 рік, передбачено</c:v>
                </c:pt>
              </c:strCache>
            </c:strRef>
          </c:cat>
          <c:val>
            <c:numRef>
              <c:f>Лист1!$B$2:$E$2</c:f>
              <c:numCache>
                <c:formatCode>General</c:formatCode>
                <c:ptCount val="4"/>
                <c:pt idx="0">
                  <c:v>963.1</c:v>
                </c:pt>
                <c:pt idx="1">
                  <c:v>1098.0999999999999</c:v>
                </c:pt>
                <c:pt idx="2">
                  <c:v>1152.9000000000001</c:v>
                </c:pt>
                <c:pt idx="3">
                  <c:v>1246.75</c:v>
                </c:pt>
              </c:numCache>
            </c:numRef>
          </c:val>
        </c:ser>
        <c:ser>
          <c:idx val="1"/>
          <c:order val="1"/>
          <c:tx>
            <c:strRef>
              <c:f>Лист1!$A$3</c:f>
              <c:strCache>
                <c:ptCount val="1"/>
                <c:pt idx="0">
                  <c:v>Заробітна плата по району</c:v>
                </c:pt>
              </c:strCache>
            </c:strRef>
          </c:tx>
          <c:spPr>
            <a:solidFill>
              <a:srgbClr val="993366"/>
            </a:solidFill>
            <a:ln w="12699">
              <a:solidFill>
                <a:srgbClr val="000000"/>
              </a:solidFill>
              <a:prstDash val="solid"/>
            </a:ln>
          </c:spPr>
          <c:invertIfNegative val="0"/>
          <c:dLbls>
            <c:spPr>
              <a:noFill/>
              <a:ln w="25399">
                <a:noFill/>
              </a:ln>
            </c:spPr>
            <c:txPr>
              <a:bodyPr/>
              <a:lstStyle/>
              <a:p>
                <a:pPr>
                  <a:defRPr lang="ru-RU" sz="7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Лист1!$B$1:$E$1</c:f>
              <c:strCache>
                <c:ptCount val="4"/>
                <c:pt idx="0">
                  <c:v>2011 рік</c:v>
                </c:pt>
                <c:pt idx="1">
                  <c:v>2012 рік</c:v>
                </c:pt>
                <c:pt idx="2">
                  <c:v>2013 рік</c:v>
                </c:pt>
                <c:pt idx="3">
                  <c:v>2014 рік, передбачено</c:v>
                </c:pt>
              </c:strCache>
            </c:strRef>
          </c:cat>
          <c:val>
            <c:numRef>
              <c:f>Лист1!$B$3:$E$3</c:f>
              <c:numCache>
                <c:formatCode>General</c:formatCode>
                <c:ptCount val="4"/>
                <c:pt idx="0">
                  <c:v>1659</c:v>
                </c:pt>
                <c:pt idx="1">
                  <c:v>2176</c:v>
                </c:pt>
                <c:pt idx="2">
                  <c:v>2390</c:v>
                </c:pt>
                <c:pt idx="3">
                  <c:v>2530</c:v>
                </c:pt>
              </c:numCache>
            </c:numRef>
          </c:val>
        </c:ser>
        <c:ser>
          <c:idx val="2"/>
          <c:order val="2"/>
          <c:tx>
            <c:strRef>
              <c:f>Лист1!$A$4</c:f>
              <c:strCache>
                <c:ptCount val="1"/>
                <c:pt idx="0">
                  <c:v>Середньомісячна заробітна плата по області</c:v>
                </c:pt>
              </c:strCache>
            </c:strRef>
          </c:tx>
          <c:spPr>
            <a:solidFill>
              <a:srgbClr val="FFFFCC"/>
            </a:solidFill>
            <a:ln w="12699">
              <a:solidFill>
                <a:srgbClr val="000000"/>
              </a:solidFill>
              <a:prstDash val="solid"/>
            </a:ln>
          </c:spPr>
          <c:invertIfNegative val="0"/>
          <c:dLbls>
            <c:spPr>
              <a:noFill/>
              <a:ln w="25399">
                <a:noFill/>
              </a:ln>
            </c:spPr>
            <c:txPr>
              <a:bodyPr/>
              <a:lstStyle/>
              <a:p>
                <a:pPr>
                  <a:defRPr lang="ru-RU" sz="7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Лист1!$B$1:$E$1</c:f>
              <c:strCache>
                <c:ptCount val="4"/>
                <c:pt idx="0">
                  <c:v>2011 рік</c:v>
                </c:pt>
                <c:pt idx="1">
                  <c:v>2012 рік</c:v>
                </c:pt>
                <c:pt idx="2">
                  <c:v>2013 рік</c:v>
                </c:pt>
                <c:pt idx="3">
                  <c:v>2014 рік, передбачено</c:v>
                </c:pt>
              </c:strCache>
            </c:strRef>
          </c:cat>
          <c:val>
            <c:numRef>
              <c:f>Лист1!$B$4:$E$4</c:f>
              <c:numCache>
                <c:formatCode>General</c:formatCode>
                <c:ptCount val="4"/>
                <c:pt idx="0">
                  <c:v>2177</c:v>
                </c:pt>
                <c:pt idx="1">
                  <c:v>2503</c:v>
                </c:pt>
                <c:pt idx="2">
                  <c:v>2702</c:v>
                </c:pt>
                <c:pt idx="3">
                  <c:v>2932</c:v>
                </c:pt>
              </c:numCache>
            </c:numRef>
          </c:val>
        </c:ser>
        <c:ser>
          <c:idx val="3"/>
          <c:order val="3"/>
          <c:tx>
            <c:strRef>
              <c:f>Лист1!$A$5</c:f>
              <c:strCache>
                <c:ptCount val="1"/>
                <c:pt idx="0">
                  <c:v>Мінімальна заробітна плата</c:v>
                </c:pt>
              </c:strCache>
            </c:strRef>
          </c:tx>
          <c:spPr>
            <a:solidFill>
              <a:srgbClr val="CCFFFF"/>
            </a:solidFill>
            <a:ln w="12699">
              <a:solidFill>
                <a:srgbClr val="000000"/>
              </a:solidFill>
              <a:prstDash val="solid"/>
            </a:ln>
          </c:spPr>
          <c:invertIfNegative val="0"/>
          <c:dLbls>
            <c:spPr>
              <a:noFill/>
              <a:ln w="25399">
                <a:noFill/>
              </a:ln>
            </c:spPr>
            <c:txPr>
              <a:bodyPr/>
              <a:lstStyle/>
              <a:p>
                <a:pPr>
                  <a:defRPr lang="ru-RU" sz="7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Лист1!$B$1:$E$1</c:f>
              <c:strCache>
                <c:ptCount val="4"/>
                <c:pt idx="0">
                  <c:v>2011 рік</c:v>
                </c:pt>
                <c:pt idx="1">
                  <c:v>2012 рік</c:v>
                </c:pt>
                <c:pt idx="2">
                  <c:v>2013 рік</c:v>
                </c:pt>
                <c:pt idx="3">
                  <c:v>2014 рік, передбачено</c:v>
                </c:pt>
              </c:strCache>
            </c:strRef>
          </c:cat>
          <c:val>
            <c:numRef>
              <c:f>Лист1!$B$5:$E$5</c:f>
              <c:numCache>
                <c:formatCode>General</c:formatCode>
                <c:ptCount val="4"/>
                <c:pt idx="0">
                  <c:v>963.1</c:v>
                </c:pt>
                <c:pt idx="1">
                  <c:v>1098.0999999999999</c:v>
                </c:pt>
                <c:pt idx="2">
                  <c:v>1152.9000000000001</c:v>
                </c:pt>
                <c:pt idx="3">
                  <c:v>1246.75</c:v>
                </c:pt>
              </c:numCache>
            </c:numRef>
          </c:val>
        </c:ser>
        <c:dLbls>
          <c:showLegendKey val="0"/>
          <c:showVal val="1"/>
          <c:showCatName val="0"/>
          <c:showSerName val="0"/>
          <c:showPercent val="0"/>
          <c:showBubbleSize val="0"/>
        </c:dLbls>
        <c:gapWidth val="150"/>
        <c:shape val="cylinder"/>
        <c:axId val="278700032"/>
        <c:axId val="278701568"/>
        <c:axId val="0"/>
      </c:bar3DChart>
      <c:catAx>
        <c:axId val="27870003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8701568"/>
        <c:crosses val="autoZero"/>
        <c:auto val="1"/>
        <c:lblAlgn val="ctr"/>
        <c:lblOffset val="100"/>
        <c:tickLblSkip val="1"/>
        <c:tickMarkSkip val="1"/>
        <c:noMultiLvlLbl val="0"/>
      </c:catAx>
      <c:valAx>
        <c:axId val="27870156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8700032"/>
        <c:crosses val="autoZero"/>
        <c:crossBetween val="between"/>
      </c:valAx>
      <c:spPr>
        <a:noFill/>
        <a:ln w="25399">
          <a:noFill/>
        </a:ln>
      </c:spPr>
    </c:plotArea>
    <c:legend>
      <c:legendPos val="r"/>
      <c:legendEntry>
        <c:idx val="0"/>
        <c:txPr>
          <a:bodyPr/>
          <a:lstStyle/>
          <a:p>
            <a:pPr>
              <a:defRPr sz="800" b="1" i="0" u="none" strike="noStrike" baseline="0">
                <a:solidFill>
                  <a:srgbClr val="000000"/>
                </a:solidFill>
                <a:latin typeface="Arial Cyr"/>
                <a:ea typeface="Arial Cyr"/>
                <a:cs typeface="Arial Cyr"/>
              </a:defRPr>
            </a:pPr>
            <a:endParaRPr lang="ru-RU"/>
          </a:p>
        </c:txPr>
      </c:legendEntry>
      <c:legendEntry>
        <c:idx val="1"/>
        <c:txPr>
          <a:bodyPr/>
          <a:lstStyle/>
          <a:p>
            <a:pPr>
              <a:defRPr sz="800" b="1" i="0" u="none" strike="noStrike" baseline="0">
                <a:solidFill>
                  <a:srgbClr val="000000"/>
                </a:solidFill>
                <a:latin typeface="Arial Cyr"/>
                <a:ea typeface="Arial Cyr"/>
                <a:cs typeface="Arial Cyr"/>
              </a:defRPr>
            </a:pPr>
            <a:endParaRPr lang="ru-RU"/>
          </a:p>
        </c:txPr>
      </c:legendEntry>
      <c:legendEntry>
        <c:idx val="2"/>
        <c:txPr>
          <a:bodyPr/>
          <a:lstStyle/>
          <a:p>
            <a:pPr>
              <a:defRPr sz="800" b="1" i="0" u="none" strike="noStrike" baseline="0">
                <a:solidFill>
                  <a:srgbClr val="000000"/>
                </a:solidFill>
                <a:latin typeface="Arial Cyr"/>
                <a:ea typeface="Arial Cyr"/>
                <a:cs typeface="Arial Cyr"/>
              </a:defRPr>
            </a:pPr>
            <a:endParaRPr lang="ru-RU"/>
          </a:p>
        </c:txPr>
      </c:legendEntry>
      <c:legendEntry>
        <c:idx val="3"/>
        <c:txPr>
          <a:bodyPr/>
          <a:lstStyle/>
          <a:p>
            <a:pPr>
              <a:defRPr sz="800" b="1" i="0" u="none" strike="noStrike" baseline="0">
                <a:solidFill>
                  <a:srgbClr val="000000"/>
                </a:solidFill>
                <a:latin typeface="Arial Cyr"/>
                <a:ea typeface="Arial Cyr"/>
                <a:cs typeface="Arial Cyr"/>
              </a:defRPr>
            </a:pPr>
            <a:endParaRPr lang="ru-RU"/>
          </a:p>
        </c:txPr>
      </c:legendEntry>
      <c:layout>
        <c:manualLayout>
          <c:xMode val="edge"/>
          <c:yMode val="edge"/>
          <c:x val="0.73494302188604377"/>
          <c:y val="0.27331277765036738"/>
          <c:w val="0.24567474734949471"/>
          <c:h val="0.50343619668900608"/>
        </c:manualLayout>
      </c:layout>
      <c:overlay val="0"/>
      <c:spPr>
        <a:solidFill>
          <a:srgbClr val="FFFFFF"/>
        </a:solidFill>
        <a:ln w="3175">
          <a:solidFill>
            <a:srgbClr val="000000"/>
          </a:solidFill>
          <a:prstDash val="solid"/>
        </a:ln>
      </c:spPr>
      <c:txPr>
        <a:bodyPr/>
        <a:lstStyle/>
        <a:p>
          <a:pPr>
            <a:defRPr lang="ru-RU" sz="8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5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внесення міндобрив</c:v>
                </c:pt>
              </c:strCache>
            </c:strRef>
          </c:tx>
          <c:invertIfNegative val="0"/>
          <c:dLbls>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Лист1!$A$2:$A$5</c:f>
              <c:strCache>
                <c:ptCount val="3"/>
                <c:pt idx="0">
                  <c:v>2011р</c:v>
                </c:pt>
                <c:pt idx="1">
                  <c:v>2012р</c:v>
                </c:pt>
                <c:pt idx="2">
                  <c:v>2013р</c:v>
                </c:pt>
              </c:strCache>
            </c:strRef>
          </c:cat>
          <c:val>
            <c:numRef>
              <c:f>Лист1!$B$2:$B$5</c:f>
              <c:numCache>
                <c:formatCode>General</c:formatCode>
                <c:ptCount val="4"/>
                <c:pt idx="0">
                  <c:v>60.1</c:v>
                </c:pt>
                <c:pt idx="1">
                  <c:v>60.5</c:v>
                </c:pt>
                <c:pt idx="2">
                  <c:v>70.400000000000006</c:v>
                </c:pt>
              </c:numCache>
            </c:numRef>
          </c:val>
        </c:ser>
        <c:ser>
          <c:idx val="1"/>
          <c:order val="1"/>
          <c:tx>
            <c:strRef>
              <c:f>Лист1!$C$1</c:f>
              <c:strCache>
                <c:ptCount val="1"/>
                <c:pt idx="0">
                  <c:v>Урожайність зернових культур</c:v>
                </c:pt>
              </c:strCache>
            </c:strRef>
          </c:tx>
          <c:invertIfNegative val="0"/>
          <c:dLbls>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Лист1!$A$2:$A$5</c:f>
              <c:strCache>
                <c:ptCount val="3"/>
                <c:pt idx="0">
                  <c:v>2011р</c:v>
                </c:pt>
                <c:pt idx="1">
                  <c:v>2012р</c:v>
                </c:pt>
                <c:pt idx="2">
                  <c:v>2013р</c:v>
                </c:pt>
              </c:strCache>
            </c:strRef>
          </c:cat>
          <c:val>
            <c:numRef>
              <c:f>Лист1!$C$2:$C$5</c:f>
              <c:numCache>
                <c:formatCode>General</c:formatCode>
                <c:ptCount val="4"/>
                <c:pt idx="0">
                  <c:v>40.300000000000004</c:v>
                </c:pt>
                <c:pt idx="1">
                  <c:v>44.6</c:v>
                </c:pt>
                <c:pt idx="2">
                  <c:v>54.3</c:v>
                </c:pt>
              </c:numCache>
            </c:numRef>
          </c:val>
        </c:ser>
        <c:ser>
          <c:idx val="2"/>
          <c:order val="2"/>
          <c:tx>
            <c:strRef>
              <c:f>Лист1!$D$1</c:f>
              <c:strCache>
                <c:ptCount val="1"/>
                <c:pt idx="0">
                  <c:v>Столбец1</c:v>
                </c:pt>
              </c:strCache>
            </c:strRef>
          </c:tx>
          <c:invertIfNegative val="0"/>
          <c:cat>
            <c:strRef>
              <c:f>Лист1!$A$2:$A$5</c:f>
              <c:strCache>
                <c:ptCount val="3"/>
                <c:pt idx="0">
                  <c:v>2011р</c:v>
                </c:pt>
                <c:pt idx="1">
                  <c:v>2012р</c:v>
                </c:pt>
                <c:pt idx="2">
                  <c:v>2013р</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box"/>
        <c:axId val="216817664"/>
        <c:axId val="216819200"/>
        <c:axId val="0"/>
      </c:bar3DChart>
      <c:catAx>
        <c:axId val="216817664"/>
        <c:scaling>
          <c:orientation val="minMax"/>
        </c:scaling>
        <c:delete val="0"/>
        <c:axPos val="b"/>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16819200"/>
        <c:crosses val="autoZero"/>
        <c:auto val="1"/>
        <c:lblAlgn val="ctr"/>
        <c:lblOffset val="100"/>
        <c:noMultiLvlLbl val="0"/>
      </c:catAx>
      <c:valAx>
        <c:axId val="216819200"/>
        <c:scaling>
          <c:orientation val="minMax"/>
        </c:scaling>
        <c:delete val="0"/>
        <c:axPos val="l"/>
        <c:majorGridlines/>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16817664"/>
        <c:crosses val="autoZero"/>
        <c:crossBetween val="between"/>
      </c:valAx>
      <c:spPr>
        <a:noFill/>
        <a:ln w="25389">
          <a:noFill/>
        </a:ln>
      </c:spPr>
    </c:plotArea>
    <c:legend>
      <c:legendPos val="r"/>
      <c:legendEntry>
        <c:idx val="0"/>
        <c:txPr>
          <a:bodyPr/>
          <a:lstStyle/>
          <a:p>
            <a:pPr>
              <a:defRPr sz="1000" b="1" i="0" u="none" strike="noStrike" baseline="0">
                <a:solidFill>
                  <a:srgbClr val="000000"/>
                </a:solidFill>
                <a:latin typeface="Calibri"/>
                <a:ea typeface="Calibri"/>
                <a:cs typeface="Calibri"/>
              </a:defRPr>
            </a:pPr>
            <a:endParaRPr lang="ru-RU"/>
          </a:p>
        </c:txPr>
      </c:legendEntry>
      <c:legendEntry>
        <c:idx val="1"/>
        <c:txPr>
          <a:bodyPr/>
          <a:lstStyle/>
          <a:p>
            <a:pPr>
              <a:defRPr sz="1000" b="1" i="0" u="none" strike="noStrike" baseline="0">
                <a:solidFill>
                  <a:srgbClr val="000000"/>
                </a:solidFill>
                <a:latin typeface="Calibri"/>
                <a:ea typeface="Calibri"/>
                <a:cs typeface="Calibri"/>
              </a:defRPr>
            </a:pPr>
            <a:endParaRPr lang="ru-RU"/>
          </a:p>
        </c:txPr>
      </c:legendEntry>
      <c:legendEntry>
        <c:idx val="2"/>
        <c:delete val="1"/>
      </c:legendEntry>
      <c:overlay val="0"/>
      <c:txPr>
        <a:bodyPr/>
        <a:lstStyle/>
        <a:p>
          <a:pPr>
            <a:defRPr lang="ru-RU" sz="1000" b="1" i="0" u="none" strike="noStrike" baseline="0">
              <a:solidFill>
                <a:srgbClr val="000000"/>
              </a:solidFill>
              <a:latin typeface="Calibri"/>
              <a:ea typeface="Calibri"/>
              <a:cs typeface="Calibri"/>
            </a:defRPr>
          </a:pPr>
          <a:endParaRPr lang="ru-RU"/>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ru-RU" sz="1200" b="1" i="0" u="none" strike="noStrike" baseline="0">
                <a:solidFill>
                  <a:srgbClr val="000000"/>
                </a:solidFill>
                <a:latin typeface="Arial Cyr"/>
                <a:ea typeface="Arial Cyr"/>
                <a:cs typeface="Arial Cyr"/>
              </a:defRPr>
            </a:pPr>
            <a:r>
              <a:rPr lang="ru-RU" sz="1200"/>
              <a:t>Динаміка заборгованості із виплати заробітної плати по Недригайлівському району, тис.грн..</a:t>
            </a:r>
          </a:p>
        </c:rich>
      </c:tx>
      <c:layout>
        <c:manualLayout>
          <c:xMode val="edge"/>
          <c:yMode val="edge"/>
          <c:x val="0.11275964391691427"/>
          <c:y val="1.986754966887426E-2"/>
        </c:manualLayout>
      </c:layout>
      <c:overlay val="0"/>
      <c:spPr>
        <a:noFill/>
        <a:ln w="25399">
          <a:noFill/>
        </a:ln>
      </c:spPr>
    </c:title>
    <c:autoTitleDeleted val="0"/>
    <c:view3D>
      <c:rotX val="20"/>
      <c:hPercent val="6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3.8575667655786391E-2"/>
          <c:y val="0.14238410596026491"/>
          <c:w val="0.54451038575667288"/>
          <c:h val="0.76490066225165565"/>
        </c:manualLayout>
      </c:layout>
      <c:bar3DChart>
        <c:barDir val="col"/>
        <c:grouping val="clustered"/>
        <c:varyColors val="0"/>
        <c:ser>
          <c:idx val="0"/>
          <c:order val="0"/>
          <c:tx>
            <c:strRef>
              <c:f>Лист1!$A$2</c:f>
              <c:strCache>
                <c:ptCount val="1"/>
                <c:pt idx="0">
                  <c:v>Загальна заборгованість</c:v>
                </c:pt>
              </c:strCache>
            </c:strRef>
          </c:tx>
          <c:spPr>
            <a:solidFill>
              <a:srgbClr val="9999FF"/>
            </a:solidFill>
            <a:ln w="12699">
              <a:solidFill>
                <a:srgbClr val="000000"/>
              </a:solidFill>
              <a:prstDash val="solid"/>
            </a:ln>
          </c:spPr>
          <c:invertIfNegative val="0"/>
          <c:cat>
            <c:numRef>
              <c:f>Лист1!$B$1:$D$1</c:f>
              <c:numCache>
                <c:formatCode>dd/mm/yyyy</c:formatCode>
                <c:ptCount val="3"/>
                <c:pt idx="0">
                  <c:v>40909</c:v>
                </c:pt>
                <c:pt idx="1">
                  <c:v>41275</c:v>
                </c:pt>
                <c:pt idx="2">
                  <c:v>41640</c:v>
                </c:pt>
              </c:numCache>
            </c:numRef>
          </c:cat>
          <c:val>
            <c:numRef>
              <c:f>Лист1!$B$2:$D$2</c:f>
              <c:numCache>
                <c:formatCode>General</c:formatCode>
                <c:ptCount val="3"/>
                <c:pt idx="0">
                  <c:v>146</c:v>
                </c:pt>
                <c:pt idx="1">
                  <c:v>0</c:v>
                </c:pt>
                <c:pt idx="2">
                  <c:v>33.700000000000003</c:v>
                </c:pt>
              </c:numCache>
            </c:numRef>
          </c:val>
        </c:ser>
        <c:ser>
          <c:idx val="1"/>
          <c:order val="1"/>
          <c:tx>
            <c:strRef>
              <c:f>Лист1!$A$3</c:f>
              <c:strCache>
                <c:ptCount val="1"/>
                <c:pt idx="0">
                  <c:v>В т.ч.  економічно – активні підприємства</c:v>
                </c:pt>
              </c:strCache>
            </c:strRef>
          </c:tx>
          <c:spPr>
            <a:solidFill>
              <a:srgbClr val="993366"/>
            </a:solidFill>
            <a:ln w="12699">
              <a:solidFill>
                <a:srgbClr val="000000"/>
              </a:solidFill>
              <a:prstDash val="solid"/>
            </a:ln>
          </c:spPr>
          <c:invertIfNegative val="0"/>
          <c:cat>
            <c:numRef>
              <c:f>Лист1!$B$1:$D$1</c:f>
              <c:numCache>
                <c:formatCode>dd/mm/yyyy</c:formatCode>
                <c:ptCount val="3"/>
                <c:pt idx="0">
                  <c:v>40909</c:v>
                </c:pt>
                <c:pt idx="1">
                  <c:v>41275</c:v>
                </c:pt>
                <c:pt idx="2">
                  <c:v>41640</c:v>
                </c:pt>
              </c:numCache>
            </c:numRef>
          </c:cat>
          <c:val>
            <c:numRef>
              <c:f>Лист1!$B$3:$D$3</c:f>
              <c:numCache>
                <c:formatCode>General</c:formatCode>
                <c:ptCount val="3"/>
                <c:pt idx="0">
                  <c:v>0</c:v>
                </c:pt>
                <c:pt idx="1">
                  <c:v>0</c:v>
                </c:pt>
                <c:pt idx="2">
                  <c:v>33.700000000000003</c:v>
                </c:pt>
              </c:numCache>
            </c:numRef>
          </c:val>
        </c:ser>
        <c:dLbls>
          <c:showLegendKey val="0"/>
          <c:showVal val="0"/>
          <c:showCatName val="0"/>
          <c:showSerName val="0"/>
          <c:showPercent val="0"/>
          <c:showBubbleSize val="0"/>
        </c:dLbls>
        <c:gapWidth val="150"/>
        <c:shape val="cylinder"/>
        <c:axId val="278790528"/>
        <c:axId val="278792064"/>
        <c:axId val="0"/>
      </c:bar3DChart>
      <c:catAx>
        <c:axId val="278790528"/>
        <c:scaling>
          <c:orientation val="minMax"/>
        </c:scaling>
        <c:delete val="0"/>
        <c:axPos val="b"/>
        <c:numFmt formatCode="dd/mm/yyyy" sourceLinked="1"/>
        <c:majorTickMark val="out"/>
        <c:minorTickMark val="none"/>
        <c:tickLblPos val="low"/>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8792064"/>
        <c:crosses val="autoZero"/>
        <c:auto val="0"/>
        <c:lblAlgn val="ctr"/>
        <c:lblOffset val="100"/>
        <c:tickLblSkip val="1"/>
        <c:tickMarkSkip val="1"/>
        <c:noMultiLvlLbl val="0"/>
      </c:catAx>
      <c:valAx>
        <c:axId val="278792064"/>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78790528"/>
        <c:crosses val="autoZero"/>
        <c:crossBetween val="between"/>
      </c:valAx>
      <c:spPr>
        <a:noFill/>
        <a:ln w="25399">
          <a:noFill/>
        </a:ln>
      </c:spPr>
    </c:plotArea>
    <c:legend>
      <c:legendPos val="r"/>
      <c:layout>
        <c:manualLayout>
          <c:xMode val="edge"/>
          <c:yMode val="edge"/>
          <c:x val="0.60925994983165332"/>
          <c:y val="0.38650629836319061"/>
          <c:w val="0.38867747413926312"/>
          <c:h val="0.33966278487033841"/>
        </c:manualLayout>
      </c:layout>
      <c:overlay val="0"/>
      <c:spPr>
        <a:solidFill>
          <a:srgbClr val="FFFFFF"/>
        </a:solidFill>
        <a:ln w="3175">
          <a:solidFill>
            <a:srgbClr val="000000"/>
          </a:solidFill>
          <a:prstDash val="solid"/>
        </a:ln>
      </c:spPr>
      <c:txPr>
        <a:bodyPr/>
        <a:lstStyle/>
        <a:p>
          <a:pPr>
            <a:defRPr lang="ru-RU" sz="8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5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uk-UA"/>
            </a:pPr>
            <a:r>
              <a:rPr lang="ru-RU" sz="1756" b="1" i="0" strike="noStrike">
                <a:solidFill>
                  <a:srgbClr val="000000"/>
                </a:solidFill>
                <a:latin typeface="Calibri"/>
              </a:rPr>
              <a:t>працевлаштування безробітних за видами економічної діяльності</a:t>
            </a:r>
          </a:p>
          <a:p>
            <a:pPr>
              <a:defRPr lang="uk-UA"/>
            </a:pPr>
            <a:r>
              <a:rPr lang="ru-RU" sz="1171" b="1" i="0" strike="noStrike">
                <a:solidFill>
                  <a:srgbClr val="000000"/>
                </a:solidFill>
                <a:latin typeface="Calibri"/>
              </a:rPr>
              <a:t>(2013 рік у %) </a:t>
            </a:r>
          </a:p>
        </c:rich>
      </c:tx>
      <c:layout>
        <c:manualLayout>
          <c:xMode val="edge"/>
          <c:yMode val="edge"/>
          <c:x val="0.12479201331114829"/>
          <c:y val="1.9047619047619143E-2"/>
        </c:manualLayout>
      </c:layout>
      <c:overlay val="0"/>
      <c:spPr>
        <a:noFill/>
        <a:ln w="24781">
          <a:noFill/>
        </a:ln>
      </c:spPr>
    </c:title>
    <c:autoTitleDeleted val="0"/>
    <c:view3D>
      <c:rotX val="75"/>
      <c:rotY val="0"/>
      <c:rAngAx val="0"/>
      <c:perspective val="30"/>
    </c:view3D>
    <c:floor>
      <c:thickness val="0"/>
    </c:floor>
    <c:sideWall>
      <c:thickness val="0"/>
    </c:sideWall>
    <c:backWall>
      <c:thickness val="0"/>
    </c:backWall>
    <c:plotArea>
      <c:layout>
        <c:manualLayout>
          <c:layoutTarget val="inner"/>
          <c:xMode val="edge"/>
          <c:yMode val="edge"/>
          <c:x val="9.4841930116473072E-2"/>
          <c:y val="0.18809523809523931"/>
          <c:w val="0.51081530782029949"/>
          <c:h val="0.73095238095238058"/>
        </c:manualLayout>
      </c:layout>
      <c:pie3DChart>
        <c:varyColors val="1"/>
        <c:ser>
          <c:idx val="0"/>
          <c:order val="0"/>
          <c:tx>
            <c:strRef>
              <c:f>Аркуш1!$B$1</c:f>
              <c:strCache>
                <c:ptCount val="1"/>
                <c:pt idx="0">
                  <c:v>у відсотках</c:v>
                </c:pt>
              </c:strCache>
            </c:strRef>
          </c:tx>
          <c:explosion val="25"/>
          <c:dLbls>
            <c:spPr>
              <a:noFill/>
              <a:ln w="24781">
                <a:noFill/>
              </a:ln>
            </c:spPr>
            <c:txPr>
              <a:bodyPr/>
              <a:lstStyle/>
              <a:p>
                <a:pPr>
                  <a:defRPr lang="uk-UA"/>
                </a:pPr>
                <a:endParaRPr lang="ru-RU"/>
              </a:p>
            </c:txPr>
            <c:showLegendKey val="0"/>
            <c:showVal val="1"/>
            <c:showCatName val="0"/>
            <c:showSerName val="0"/>
            <c:showPercent val="0"/>
            <c:showBubbleSize val="0"/>
            <c:showLeaderLines val="1"/>
          </c:dLbls>
          <c:cat>
            <c:strRef>
              <c:f>Аркуш1!$A$2:$A$9</c:f>
              <c:strCache>
                <c:ptCount val="8"/>
                <c:pt idx="0">
                  <c:v>Сільське господарство</c:v>
                </c:pt>
                <c:pt idx="1">
                  <c:v>Переробна промисловість</c:v>
                </c:pt>
                <c:pt idx="2">
                  <c:v>Державне управління</c:v>
                </c:pt>
                <c:pt idx="3">
                  <c:v>Освіта</c:v>
                </c:pt>
                <c:pt idx="4">
                  <c:v>Охорона здоров'я</c:v>
                </c:pt>
                <c:pt idx="5">
                  <c:v>Транспорт</c:v>
                </c:pt>
                <c:pt idx="6">
                  <c:v>Будівництво</c:v>
                </c:pt>
                <c:pt idx="7">
                  <c:v>Інше</c:v>
                </c:pt>
              </c:strCache>
            </c:strRef>
          </c:cat>
          <c:val>
            <c:numRef>
              <c:f>Аркуш1!$B$2:$B$9</c:f>
              <c:numCache>
                <c:formatCode>General</c:formatCode>
                <c:ptCount val="8"/>
                <c:pt idx="0">
                  <c:v>56</c:v>
                </c:pt>
                <c:pt idx="1">
                  <c:v>8</c:v>
                </c:pt>
                <c:pt idx="2">
                  <c:v>7</c:v>
                </c:pt>
                <c:pt idx="3">
                  <c:v>11</c:v>
                </c:pt>
                <c:pt idx="4">
                  <c:v>6</c:v>
                </c:pt>
                <c:pt idx="5">
                  <c:v>3</c:v>
                </c:pt>
                <c:pt idx="6">
                  <c:v>3</c:v>
                </c:pt>
                <c:pt idx="7">
                  <c:v>6</c:v>
                </c:pt>
              </c:numCache>
            </c:numRef>
          </c:val>
        </c:ser>
        <c:dLbls>
          <c:showLegendKey val="0"/>
          <c:showVal val="0"/>
          <c:showCatName val="0"/>
          <c:showSerName val="0"/>
          <c:showPercent val="0"/>
          <c:showBubbleSize val="0"/>
          <c:showLeaderLines val="1"/>
        </c:dLbls>
      </c:pie3DChart>
      <c:spPr>
        <a:noFill/>
        <a:ln w="24781">
          <a:noFill/>
        </a:ln>
      </c:spPr>
    </c:plotArea>
    <c:legend>
      <c:legendPos val="r"/>
      <c:layout>
        <c:manualLayout>
          <c:xMode val="edge"/>
          <c:yMode val="edge"/>
          <c:x val="0.7021630615640595"/>
          <c:y val="0.33571428571428819"/>
          <c:w val="0.28618968386023441"/>
          <c:h val="0.45714285714285857"/>
        </c:manualLayout>
      </c:layout>
      <c:overlay val="0"/>
      <c:txPr>
        <a:bodyPr/>
        <a:lstStyle/>
        <a:p>
          <a:pPr>
            <a:defRPr lang="uk-UA"/>
          </a:pPr>
          <a:endParaRPr lang="ru-RU"/>
        </a:p>
      </c:txPr>
    </c:legend>
    <c:plotVisOnly val="1"/>
    <c:dispBlanksAs val="zero"/>
    <c:showDLblsOverMax val="0"/>
  </c:chart>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4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2596293483619133E-2"/>
          <c:y val="1.341791883001524E-2"/>
          <c:w val="0.92234548335974664"/>
          <c:h val="0.68636660592098342"/>
        </c:manualLayout>
      </c:layout>
      <c:bar3DChart>
        <c:barDir val="col"/>
        <c:grouping val="clustered"/>
        <c:varyColors val="0"/>
        <c:ser>
          <c:idx val="0"/>
          <c:order val="0"/>
          <c:tx>
            <c:strRef>
              <c:f>Sheet1!$A$2</c:f>
              <c:strCache>
                <c:ptCount val="1"/>
                <c:pt idx="0">
                  <c:v>народжуваність по району</c:v>
                </c:pt>
              </c:strCache>
            </c:strRef>
          </c:tx>
          <c:spPr>
            <a:solidFill>
              <a:srgbClr val="993300"/>
            </a:solidFill>
            <a:ln w="8307">
              <a:solidFill>
                <a:srgbClr val="000000"/>
              </a:solidFill>
              <a:prstDash val="solid"/>
            </a:ln>
          </c:spPr>
          <c:invertIfNegative val="0"/>
          <c:dLbls>
            <c:dLbl>
              <c:idx val="0"/>
              <c:layout>
                <c:manualLayout>
                  <c:x val="-6.8362630441678087E-3"/>
                  <c:y val="-2.4211976687048414E-2"/>
                </c:manualLayout>
              </c:layout>
              <c:showLegendKey val="1"/>
              <c:showVal val="1"/>
              <c:showCatName val="0"/>
              <c:showSerName val="0"/>
              <c:showPercent val="0"/>
              <c:showBubbleSize val="0"/>
            </c:dLbl>
            <c:dLbl>
              <c:idx val="1"/>
              <c:layout>
                <c:manualLayout>
                  <c:x val="-1.4840357120229255E-3"/>
                  <c:y val="-2.4710168697812007E-2"/>
                </c:manualLayout>
              </c:layout>
              <c:showLegendKey val="1"/>
              <c:showVal val="1"/>
              <c:showCatName val="0"/>
              <c:showSerName val="0"/>
              <c:showPercent val="0"/>
              <c:showBubbleSize val="0"/>
            </c:dLbl>
            <c:dLbl>
              <c:idx val="2"/>
              <c:layout>
                <c:manualLayout>
                  <c:x val="2.9458182704611619E-3"/>
                  <c:y val="-3.7549669920671602E-2"/>
                </c:manualLayout>
              </c:layout>
              <c:showLegendKey val="1"/>
              <c:showVal val="1"/>
              <c:showCatName val="0"/>
              <c:showSerName val="0"/>
              <c:showPercent val="0"/>
              <c:showBubbleSize val="0"/>
            </c:dLbl>
            <c:spPr>
              <a:noFill/>
              <a:ln w="16614">
                <a:noFill/>
              </a:ln>
            </c:spPr>
            <c:txPr>
              <a:bodyPr/>
              <a:lstStyle/>
              <a:p>
                <a:pPr>
                  <a:defRPr lang="ru-RU" sz="785" b="1" i="0" u="none" strike="noStrike" baseline="0">
                    <a:solidFill>
                      <a:srgbClr val="000000"/>
                    </a:solidFill>
                    <a:latin typeface="Arial Cyr"/>
                    <a:ea typeface="Arial Cyr"/>
                    <a:cs typeface="Arial Cyr"/>
                  </a:defRPr>
                </a:pPr>
                <a:endParaRPr lang="ru-RU"/>
              </a:p>
            </c:txPr>
            <c:showLegendKey val="1"/>
            <c:showVal val="1"/>
            <c:showCatName val="0"/>
            <c:showSerName val="0"/>
            <c:showPercent val="0"/>
            <c:showBubbleSize val="0"/>
            <c:showLeaderLines val="0"/>
          </c:dLbls>
          <c:cat>
            <c:numRef>
              <c:f>Sheet1!$B$1:$D$1</c:f>
              <c:numCache>
                <c:formatCode>General</c:formatCode>
                <c:ptCount val="3"/>
                <c:pt idx="0">
                  <c:v>2012</c:v>
                </c:pt>
                <c:pt idx="1">
                  <c:v>2013</c:v>
                </c:pt>
              </c:numCache>
            </c:numRef>
          </c:cat>
          <c:val>
            <c:numRef>
              <c:f>Sheet1!$B$2:$D$2</c:f>
              <c:numCache>
                <c:formatCode>General</c:formatCode>
                <c:ptCount val="3"/>
                <c:pt idx="0">
                  <c:v>7.4</c:v>
                </c:pt>
                <c:pt idx="1">
                  <c:v>6</c:v>
                </c:pt>
              </c:numCache>
            </c:numRef>
          </c:val>
        </c:ser>
        <c:ser>
          <c:idx val="1"/>
          <c:order val="1"/>
          <c:tx>
            <c:strRef>
              <c:f>Sheet1!$A$3</c:f>
              <c:strCache>
                <c:ptCount val="1"/>
                <c:pt idx="0">
                  <c:v>народжуваність по селу</c:v>
                </c:pt>
              </c:strCache>
            </c:strRef>
          </c:tx>
          <c:spPr>
            <a:solidFill>
              <a:srgbClr val="0066CC"/>
            </a:solidFill>
            <a:ln w="8307">
              <a:solidFill>
                <a:srgbClr val="000000"/>
              </a:solidFill>
              <a:prstDash val="solid"/>
            </a:ln>
          </c:spPr>
          <c:invertIfNegative val="0"/>
          <c:dLbls>
            <c:dLbl>
              <c:idx val="0"/>
              <c:layout>
                <c:manualLayout>
                  <c:x val="1.1799345443257905E-2"/>
                  <c:y val="-1.9344831845092603E-2"/>
                </c:manualLayout>
              </c:layout>
              <c:showLegendKey val="1"/>
              <c:showVal val="1"/>
              <c:showCatName val="0"/>
              <c:showSerName val="0"/>
              <c:showPercent val="0"/>
              <c:showBubbleSize val="0"/>
            </c:dLbl>
            <c:dLbl>
              <c:idx val="1"/>
              <c:layout>
                <c:manualLayout>
                  <c:x val="9.6251287619364499E-3"/>
                  <c:y val="-3.531133668712863E-2"/>
                </c:manualLayout>
              </c:layout>
              <c:showLegendKey val="1"/>
              <c:showVal val="1"/>
              <c:showCatName val="0"/>
              <c:showSerName val="0"/>
              <c:showPercent val="0"/>
              <c:showBubbleSize val="0"/>
            </c:dLbl>
            <c:dLbl>
              <c:idx val="2"/>
              <c:layout>
                <c:manualLayout>
                  <c:x val="7.8458196515213494E-3"/>
                  <c:y val="-4.4968372465005318E-2"/>
                </c:manualLayout>
              </c:layout>
              <c:showLegendKey val="1"/>
              <c:showVal val="1"/>
              <c:showCatName val="0"/>
              <c:showSerName val="0"/>
              <c:showPercent val="0"/>
              <c:showBubbleSize val="0"/>
            </c:dLbl>
            <c:spPr>
              <a:noFill/>
              <a:ln w="16614">
                <a:noFill/>
              </a:ln>
            </c:spPr>
            <c:txPr>
              <a:bodyPr/>
              <a:lstStyle/>
              <a:p>
                <a:pPr>
                  <a:defRPr lang="ru-RU" sz="785" b="1" i="0" u="none" strike="noStrike" baseline="0">
                    <a:solidFill>
                      <a:srgbClr val="000000"/>
                    </a:solidFill>
                    <a:latin typeface="Arial Cyr"/>
                    <a:ea typeface="Arial Cyr"/>
                    <a:cs typeface="Arial Cyr"/>
                  </a:defRPr>
                </a:pPr>
                <a:endParaRPr lang="ru-RU"/>
              </a:p>
            </c:txPr>
            <c:showLegendKey val="1"/>
            <c:showVal val="1"/>
            <c:showCatName val="0"/>
            <c:showSerName val="0"/>
            <c:showPercent val="0"/>
            <c:showBubbleSize val="0"/>
            <c:showLeaderLines val="0"/>
          </c:dLbls>
          <c:cat>
            <c:numRef>
              <c:f>Sheet1!$B$1:$D$1</c:f>
              <c:numCache>
                <c:formatCode>General</c:formatCode>
                <c:ptCount val="3"/>
                <c:pt idx="0">
                  <c:v>2012</c:v>
                </c:pt>
                <c:pt idx="1">
                  <c:v>2013</c:v>
                </c:pt>
              </c:numCache>
            </c:numRef>
          </c:cat>
          <c:val>
            <c:numRef>
              <c:f>Sheet1!$B$3:$D$3</c:f>
              <c:numCache>
                <c:formatCode>General</c:formatCode>
                <c:ptCount val="3"/>
                <c:pt idx="0">
                  <c:v>5.9</c:v>
                </c:pt>
                <c:pt idx="1">
                  <c:v>4.4000000000000004</c:v>
                </c:pt>
              </c:numCache>
            </c:numRef>
          </c:val>
        </c:ser>
        <c:ser>
          <c:idx val="2"/>
          <c:order val="2"/>
          <c:tx>
            <c:strRef>
              <c:f>Sheet1!$A$4</c:f>
              <c:strCache>
                <c:ptCount val="1"/>
                <c:pt idx="0">
                  <c:v>народжувангість по місту </c:v>
                </c:pt>
              </c:strCache>
            </c:strRef>
          </c:tx>
          <c:spPr>
            <a:solidFill>
              <a:srgbClr val="808000"/>
            </a:solidFill>
            <a:ln w="8307">
              <a:solidFill>
                <a:srgbClr val="000000"/>
              </a:solidFill>
              <a:prstDash val="solid"/>
            </a:ln>
          </c:spPr>
          <c:invertIfNegative val="0"/>
          <c:dLbls>
            <c:dLbl>
              <c:idx val="0"/>
              <c:layout>
                <c:manualLayout>
                  <c:x val="1.2914888551734895E-2"/>
                  <c:y val="2.2147987179225542E-2"/>
                </c:manualLayout>
              </c:layout>
              <c:spPr>
                <a:noFill/>
                <a:ln w="16614">
                  <a:noFill/>
                </a:ln>
              </c:spPr>
              <c:txPr>
                <a:bodyPr/>
                <a:lstStyle/>
                <a:p>
                  <a:pPr>
                    <a:defRPr lang="ru-RU" sz="785" b="1" i="0" u="none" strike="noStrike" baseline="0">
                      <a:solidFill>
                        <a:srgbClr val="000000"/>
                      </a:solidFill>
                      <a:latin typeface="Arial Cyr"/>
                      <a:ea typeface="Arial Cyr"/>
                      <a:cs typeface="Arial Cyr"/>
                    </a:defRPr>
                  </a:pPr>
                  <a:endParaRPr lang="ru-RU"/>
                </a:p>
              </c:txPr>
              <c:showLegendKey val="1"/>
              <c:showVal val="1"/>
              <c:showCatName val="0"/>
              <c:showSerName val="0"/>
              <c:showPercent val="0"/>
              <c:showBubbleSize val="0"/>
            </c:dLbl>
            <c:dLbl>
              <c:idx val="1"/>
              <c:layout>
                <c:manualLayout>
                  <c:x val="1.2763249244308163E-2"/>
                  <c:y val="2.7793521365536148E-2"/>
                </c:manualLayout>
              </c:layout>
              <c:spPr>
                <a:noFill/>
                <a:ln w="16614">
                  <a:noFill/>
                </a:ln>
              </c:spPr>
              <c:txPr>
                <a:bodyPr/>
                <a:lstStyle/>
                <a:p>
                  <a:pPr>
                    <a:defRPr lang="ru-RU" sz="785" b="1" i="0" u="none" strike="noStrike" baseline="0">
                      <a:solidFill>
                        <a:srgbClr val="000000"/>
                      </a:solidFill>
                      <a:latin typeface="Arial Cyr"/>
                      <a:ea typeface="Arial Cyr"/>
                      <a:cs typeface="Arial Cyr"/>
                    </a:defRPr>
                  </a:pPr>
                  <a:endParaRPr lang="ru-RU"/>
                </a:p>
              </c:txPr>
              <c:showLegendKey val="1"/>
              <c:showVal val="1"/>
              <c:showCatName val="0"/>
              <c:showSerName val="0"/>
              <c:showPercent val="0"/>
              <c:showBubbleSize val="0"/>
            </c:dLbl>
            <c:dLbl>
              <c:idx val="2"/>
              <c:layout>
                <c:manualLayout>
                  <c:x val="3.4574961204267862E-3"/>
                  <c:y val="1.9326182989587298E-2"/>
                </c:manualLayout>
              </c:layout>
              <c:spPr>
                <a:noFill/>
                <a:ln w="16614">
                  <a:noFill/>
                </a:ln>
              </c:spPr>
              <c:txPr>
                <a:bodyPr/>
                <a:lstStyle/>
                <a:p>
                  <a:pPr>
                    <a:defRPr lang="ru-RU" sz="785" b="1" i="0" u="none" strike="noStrike" baseline="0">
                      <a:solidFill>
                        <a:srgbClr val="000000"/>
                      </a:solidFill>
                      <a:latin typeface="Arial Cyr"/>
                      <a:ea typeface="Arial Cyr"/>
                      <a:cs typeface="Arial Cyr"/>
                    </a:defRPr>
                  </a:pPr>
                  <a:endParaRPr lang="ru-RU"/>
                </a:p>
              </c:txPr>
              <c:showLegendKey val="1"/>
              <c:showVal val="1"/>
              <c:showCatName val="0"/>
              <c:showSerName val="0"/>
              <c:showPercent val="0"/>
              <c:showBubbleSize val="0"/>
            </c:dLbl>
            <c:showLegendKey val="0"/>
            <c:showVal val="0"/>
            <c:showCatName val="0"/>
            <c:showSerName val="0"/>
            <c:showPercent val="0"/>
            <c:showBubbleSize val="0"/>
          </c:dLbls>
          <c:cat>
            <c:numRef>
              <c:f>Sheet1!$B$1:$D$1</c:f>
              <c:numCache>
                <c:formatCode>General</c:formatCode>
                <c:ptCount val="3"/>
                <c:pt idx="0">
                  <c:v>2012</c:v>
                </c:pt>
                <c:pt idx="1">
                  <c:v>2013</c:v>
                </c:pt>
              </c:numCache>
            </c:numRef>
          </c:cat>
          <c:val>
            <c:numRef>
              <c:f>Sheet1!$B$4:$D$4</c:f>
              <c:numCache>
                <c:formatCode>General</c:formatCode>
                <c:ptCount val="3"/>
                <c:pt idx="0">
                  <c:v>10.6</c:v>
                </c:pt>
                <c:pt idx="1">
                  <c:v>9.1</c:v>
                </c:pt>
              </c:numCache>
            </c:numRef>
          </c:val>
        </c:ser>
        <c:dLbls>
          <c:showLegendKey val="0"/>
          <c:showVal val="0"/>
          <c:showCatName val="0"/>
          <c:showSerName val="0"/>
          <c:showPercent val="0"/>
          <c:showBubbleSize val="0"/>
        </c:dLbls>
        <c:gapWidth val="150"/>
        <c:gapDepth val="0"/>
        <c:shape val="box"/>
        <c:axId val="281421312"/>
        <c:axId val="281422848"/>
        <c:axId val="0"/>
      </c:bar3DChart>
      <c:catAx>
        <c:axId val="281421312"/>
        <c:scaling>
          <c:orientation val="minMax"/>
        </c:scaling>
        <c:delete val="0"/>
        <c:axPos val="b"/>
        <c:numFmt formatCode="General" sourceLinked="1"/>
        <c:majorTickMark val="out"/>
        <c:minorTickMark val="none"/>
        <c:tickLblPos val="low"/>
        <c:spPr>
          <a:ln w="2077">
            <a:solidFill>
              <a:srgbClr val="000000"/>
            </a:solidFill>
            <a:prstDash val="solid"/>
          </a:ln>
        </c:spPr>
        <c:txPr>
          <a:bodyPr rot="0" vert="horz"/>
          <a:lstStyle/>
          <a:p>
            <a:pPr>
              <a:defRPr lang="ru-RU" sz="785" b="1" i="0" u="none" strike="noStrike" baseline="0">
                <a:solidFill>
                  <a:srgbClr val="000000"/>
                </a:solidFill>
                <a:latin typeface="Arial Cyr"/>
                <a:ea typeface="Arial Cyr"/>
                <a:cs typeface="Arial Cyr"/>
              </a:defRPr>
            </a:pPr>
            <a:endParaRPr lang="ru-RU"/>
          </a:p>
        </c:txPr>
        <c:crossAx val="281422848"/>
        <c:crosses val="autoZero"/>
        <c:auto val="1"/>
        <c:lblAlgn val="ctr"/>
        <c:lblOffset val="100"/>
        <c:tickLblSkip val="1"/>
        <c:tickMarkSkip val="1"/>
        <c:noMultiLvlLbl val="0"/>
      </c:catAx>
      <c:valAx>
        <c:axId val="281422848"/>
        <c:scaling>
          <c:orientation val="minMax"/>
        </c:scaling>
        <c:delete val="0"/>
        <c:axPos val="l"/>
        <c:majorGridlines>
          <c:spPr>
            <a:ln w="2077">
              <a:solidFill>
                <a:srgbClr val="000000"/>
              </a:solidFill>
              <a:prstDash val="solid"/>
            </a:ln>
          </c:spPr>
        </c:majorGridlines>
        <c:numFmt formatCode="General" sourceLinked="1"/>
        <c:majorTickMark val="out"/>
        <c:minorTickMark val="none"/>
        <c:tickLblPos val="nextTo"/>
        <c:spPr>
          <a:ln w="2077">
            <a:solidFill>
              <a:srgbClr val="000000"/>
            </a:solidFill>
            <a:prstDash val="solid"/>
          </a:ln>
        </c:spPr>
        <c:txPr>
          <a:bodyPr rot="0" vert="horz"/>
          <a:lstStyle/>
          <a:p>
            <a:pPr>
              <a:defRPr lang="ru-RU" sz="800" b="1" i="0" u="none" strike="noStrike" baseline="0">
                <a:solidFill>
                  <a:srgbClr val="000000"/>
                </a:solidFill>
                <a:latin typeface="Arial Cyr"/>
                <a:ea typeface="Arial Cyr"/>
                <a:cs typeface="Arial Cyr"/>
              </a:defRPr>
            </a:pPr>
            <a:endParaRPr lang="ru-RU"/>
          </a:p>
        </c:txPr>
        <c:crossAx val="281421312"/>
        <c:crosses val="autoZero"/>
        <c:crossBetween val="between"/>
      </c:valAx>
      <c:spPr>
        <a:noFill/>
        <a:ln w="16614">
          <a:noFill/>
        </a:ln>
      </c:spPr>
    </c:plotArea>
    <c:legend>
      <c:legendPos val="r"/>
      <c:layout>
        <c:manualLayout>
          <c:xMode val="edge"/>
          <c:yMode val="edge"/>
          <c:x val="0.15122586834006171"/>
          <c:y val="0.79593493995068798"/>
          <c:w val="0.69889078298202423"/>
          <c:h val="0.20406506004931221"/>
        </c:manualLayout>
      </c:layout>
      <c:overlay val="0"/>
      <c:spPr>
        <a:noFill/>
        <a:ln w="2077">
          <a:solidFill>
            <a:srgbClr val="000000"/>
          </a:solidFill>
          <a:prstDash val="solid"/>
        </a:ln>
      </c:spPr>
      <c:txPr>
        <a:bodyPr/>
        <a:lstStyle/>
        <a:p>
          <a:pPr>
            <a:defRPr lang="ru-RU" sz="8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85"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8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7805498875438824E-2"/>
          <c:y val="2.8702893619779062E-2"/>
          <c:w val="0.58759689922480618"/>
          <c:h val="0.79551820728291256"/>
        </c:manualLayout>
      </c:layout>
      <c:bar3DChart>
        <c:barDir val="col"/>
        <c:grouping val="clustered"/>
        <c:varyColors val="0"/>
        <c:ser>
          <c:idx val="0"/>
          <c:order val="0"/>
          <c:tx>
            <c:strRef>
              <c:f>Sheet1!$A$2</c:f>
              <c:strCache>
                <c:ptCount val="1"/>
                <c:pt idx="0">
                  <c:v>Смертність по  району </c:v>
                </c:pt>
              </c:strCache>
            </c:strRef>
          </c:tx>
          <c:spPr>
            <a:solidFill>
              <a:srgbClr val="0000FF"/>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Sheet1!$B$2:$D$2</c:f>
              <c:numCache>
                <c:formatCode>General</c:formatCode>
                <c:ptCount val="3"/>
                <c:pt idx="0">
                  <c:v>19.100000000000001</c:v>
                </c:pt>
                <c:pt idx="1">
                  <c:v>21.8</c:v>
                </c:pt>
              </c:numCache>
            </c:numRef>
          </c:val>
        </c:ser>
        <c:ser>
          <c:idx val="1"/>
          <c:order val="1"/>
          <c:tx>
            <c:strRef>
              <c:f>Sheet1!$A$3</c:f>
              <c:strCache>
                <c:ptCount val="1"/>
                <c:pt idx="0">
                  <c:v>Смертність по  селу</c:v>
                </c:pt>
              </c:strCache>
            </c:strRef>
          </c:tx>
          <c:spPr>
            <a:solidFill>
              <a:srgbClr val="008000"/>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Sheet1!$B$3:$D$3</c:f>
              <c:numCache>
                <c:formatCode>General</c:formatCode>
                <c:ptCount val="3"/>
                <c:pt idx="0">
                  <c:v>19.3</c:v>
                </c:pt>
                <c:pt idx="1">
                  <c:v>17.5</c:v>
                </c:pt>
              </c:numCache>
            </c:numRef>
          </c:val>
        </c:ser>
        <c:ser>
          <c:idx val="2"/>
          <c:order val="2"/>
          <c:tx>
            <c:strRef>
              <c:f>Sheet1!$A$4</c:f>
              <c:strCache>
                <c:ptCount val="1"/>
                <c:pt idx="0">
                  <c:v>Смертність по місту</c:v>
                </c:pt>
              </c:strCache>
            </c:strRef>
          </c:tx>
          <c:spPr>
            <a:solidFill>
              <a:srgbClr val="FF0000"/>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Sheet1!$B$4:$D$4</c:f>
              <c:numCache>
                <c:formatCode>General</c:formatCode>
                <c:ptCount val="3"/>
                <c:pt idx="0">
                  <c:v>18.600000000000001</c:v>
                </c:pt>
                <c:pt idx="1">
                  <c:v>30.2</c:v>
                </c:pt>
              </c:numCache>
            </c:numRef>
          </c:val>
        </c:ser>
        <c:ser>
          <c:idx val="3"/>
          <c:order val="3"/>
          <c:tx>
            <c:strRef>
              <c:f>Sheet1!$A$5</c:f>
              <c:strCache>
                <c:ptCount val="1"/>
              </c:strCache>
            </c:strRef>
          </c:tx>
          <c:spPr>
            <a:solidFill>
              <a:srgbClr val="CCFFFF"/>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Sheet1!$B$5:$D$5</c:f>
              <c:numCache>
                <c:formatCode>General</c:formatCode>
                <c:ptCount val="3"/>
              </c:numCache>
            </c:numRef>
          </c:val>
        </c:ser>
        <c:ser>
          <c:idx val="4"/>
          <c:order val="4"/>
          <c:tx>
            <c:strRef>
              <c:f>Sheet1!$A$6</c:f>
              <c:strCache>
                <c:ptCount val="1"/>
              </c:strCache>
            </c:strRef>
          </c:tx>
          <c:spPr>
            <a:solidFill>
              <a:srgbClr val="660066"/>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Sheet1!$B$6:$D$6</c:f>
              <c:numCache>
                <c:formatCode>General</c:formatCode>
                <c:ptCount val="3"/>
              </c:numCache>
            </c:numRef>
          </c:val>
        </c:ser>
        <c:ser>
          <c:idx val="5"/>
          <c:order val="5"/>
          <c:tx>
            <c:strRef>
              <c:f>Sheet1!$A$7</c:f>
              <c:strCache>
                <c:ptCount val="1"/>
              </c:strCache>
            </c:strRef>
          </c:tx>
          <c:spPr>
            <a:solidFill>
              <a:srgbClr val="FFFF00"/>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Sheet1!$B$7:$D$7</c:f>
              <c:numCache>
                <c:formatCode>General</c:formatCode>
                <c:ptCount val="3"/>
              </c:numCache>
            </c:numRef>
          </c:val>
        </c:ser>
        <c:ser>
          <c:idx val="6"/>
          <c:order val="6"/>
          <c:tx>
            <c:strRef>
              <c:f>Sheet1!$A$8</c:f>
              <c:strCache>
                <c:ptCount val="1"/>
              </c:strCache>
            </c:strRef>
          </c:tx>
          <c:spPr>
            <a:solidFill>
              <a:srgbClr val="FF00FF"/>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Sheet1!$B$8:$D$8</c:f>
              <c:numCache>
                <c:formatCode>General</c:formatCode>
                <c:ptCount val="3"/>
              </c:numCache>
            </c:numRef>
          </c:val>
        </c:ser>
        <c:dLbls>
          <c:showLegendKey val="0"/>
          <c:showVal val="0"/>
          <c:showCatName val="0"/>
          <c:showSerName val="0"/>
          <c:showPercent val="0"/>
          <c:showBubbleSize val="0"/>
        </c:dLbls>
        <c:gapWidth val="150"/>
        <c:gapDepth val="0"/>
        <c:shape val="cylinder"/>
        <c:axId val="282148224"/>
        <c:axId val="282154112"/>
        <c:axId val="0"/>
      </c:bar3DChart>
      <c:catAx>
        <c:axId val="282148224"/>
        <c:scaling>
          <c:orientation val="minMax"/>
        </c:scaling>
        <c:delete val="0"/>
        <c:axPos val="b"/>
        <c:numFmt formatCode="General" sourceLinked="1"/>
        <c:majorTickMark val="out"/>
        <c:minorTickMark val="none"/>
        <c:tickLblPos val="low"/>
        <c:spPr>
          <a:ln w="2113">
            <a:solidFill>
              <a:srgbClr val="000000"/>
            </a:solidFill>
            <a:prstDash val="solid"/>
          </a:ln>
        </c:spPr>
        <c:txPr>
          <a:bodyPr rot="0" vert="horz"/>
          <a:lstStyle/>
          <a:p>
            <a:pPr>
              <a:defRPr lang="ru-RU"/>
            </a:pPr>
            <a:endParaRPr lang="ru-RU"/>
          </a:p>
        </c:txPr>
        <c:crossAx val="282154112"/>
        <c:crosses val="autoZero"/>
        <c:auto val="1"/>
        <c:lblAlgn val="ctr"/>
        <c:lblOffset val="100"/>
        <c:tickLblSkip val="1"/>
        <c:tickMarkSkip val="1"/>
        <c:noMultiLvlLbl val="0"/>
      </c:catAx>
      <c:valAx>
        <c:axId val="282154112"/>
        <c:scaling>
          <c:orientation val="minMax"/>
        </c:scaling>
        <c:delete val="0"/>
        <c:axPos val="l"/>
        <c:majorGridlines>
          <c:spPr>
            <a:ln w="2113">
              <a:solidFill>
                <a:srgbClr val="000000"/>
              </a:solidFill>
              <a:prstDash val="solid"/>
            </a:ln>
          </c:spPr>
        </c:majorGridlines>
        <c:numFmt formatCode="General" sourceLinked="1"/>
        <c:majorTickMark val="out"/>
        <c:minorTickMark val="none"/>
        <c:tickLblPos val="nextTo"/>
        <c:spPr>
          <a:ln w="2113">
            <a:solidFill>
              <a:srgbClr val="000000"/>
            </a:solidFill>
            <a:prstDash val="solid"/>
          </a:ln>
        </c:spPr>
        <c:txPr>
          <a:bodyPr rot="0" vert="horz"/>
          <a:lstStyle/>
          <a:p>
            <a:pPr>
              <a:defRPr lang="ru-RU"/>
            </a:pPr>
            <a:endParaRPr lang="ru-RU"/>
          </a:p>
        </c:txPr>
        <c:crossAx val="282148224"/>
        <c:crosses val="autoZero"/>
        <c:crossBetween val="between"/>
      </c:valAx>
      <c:spPr>
        <a:noFill/>
        <a:ln w="16925">
          <a:noFill/>
        </a:ln>
      </c:spPr>
    </c:plotArea>
    <c:legend>
      <c:legendPos val="r"/>
      <c:legendEntry>
        <c:idx val="0"/>
        <c:txPr>
          <a:bodyPr/>
          <a:lstStyle/>
          <a:p>
            <a:pPr>
              <a:defRPr sz="1000"/>
            </a:pPr>
            <a:endParaRPr lang="ru-RU"/>
          </a:p>
        </c:txPr>
      </c:legendEntry>
      <c:legendEntry>
        <c:idx val="1"/>
        <c:txPr>
          <a:bodyPr/>
          <a:lstStyle/>
          <a:p>
            <a:pPr>
              <a:defRPr sz="1000"/>
            </a:pPr>
            <a:endParaRPr lang="ru-RU"/>
          </a:p>
        </c:txPr>
      </c:legendEntry>
      <c:legendEntry>
        <c:idx val="2"/>
        <c:txPr>
          <a:bodyPr/>
          <a:lstStyle/>
          <a:p>
            <a:pPr>
              <a:defRPr sz="1000"/>
            </a:pPr>
            <a:endParaRPr lang="ru-RU"/>
          </a:p>
        </c:txPr>
      </c:legendEntry>
      <c:legendEntry>
        <c:idx val="3"/>
        <c:delete val="1"/>
      </c:legendEntry>
      <c:legendEntry>
        <c:idx val="4"/>
        <c:delete val="1"/>
      </c:legendEntry>
      <c:legendEntry>
        <c:idx val="5"/>
        <c:delete val="1"/>
      </c:legendEntry>
      <c:legendEntry>
        <c:idx val="6"/>
        <c:delete val="1"/>
      </c:legendEntry>
      <c:layout>
        <c:manualLayout>
          <c:xMode val="edge"/>
          <c:yMode val="edge"/>
          <c:x val="0.6168755137722256"/>
          <c:y val="0.41735361783480879"/>
          <c:w val="0.34072913215945172"/>
          <c:h val="0.24348206474190753"/>
        </c:manualLayout>
      </c:layout>
      <c:overlay val="0"/>
      <c:spPr>
        <a:noFill/>
        <a:ln w="2113">
          <a:solidFill>
            <a:srgbClr val="000000"/>
          </a:solidFill>
          <a:prstDash val="solid"/>
        </a:ln>
      </c:spPr>
      <c:txPr>
        <a:bodyPr/>
        <a:lstStyle/>
        <a:p>
          <a:pPr>
            <a:defRPr lang="ru-RU"/>
          </a:pPr>
          <a:endParaRPr lang="ru-RU"/>
        </a:p>
      </c:txPr>
    </c:legend>
    <c:plotVisOnly val="1"/>
    <c:dispBlanksAs val="gap"/>
    <c:showDLblsOverMax val="0"/>
  </c:chart>
  <c:spPr>
    <a:noFill/>
    <a:ln>
      <a:noFill/>
    </a:ln>
  </c:spPr>
  <c:txPr>
    <a:bodyPr/>
    <a:lstStyle/>
    <a:p>
      <a:pPr>
        <a:defRPr sz="110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8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3565891472868216E-2"/>
          <c:y val="6.1624649859944022E-2"/>
          <c:w val="0.58759689922480618"/>
          <c:h val="0.79551820728291256"/>
        </c:manualLayout>
      </c:layout>
      <c:bar3DChart>
        <c:barDir val="col"/>
        <c:grouping val="clustered"/>
        <c:varyColors val="0"/>
        <c:ser>
          <c:idx val="0"/>
          <c:order val="0"/>
          <c:tx>
            <c:strRef>
              <c:f>Sheet1!$A$2</c:f>
              <c:strCache>
                <c:ptCount val="1"/>
                <c:pt idx="0">
                  <c:v>ХСК</c:v>
                </c:pt>
              </c:strCache>
            </c:strRef>
          </c:tx>
          <c:spPr>
            <a:solidFill>
              <a:srgbClr val="0000FF"/>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Sheet1!$B$2:$D$2</c:f>
              <c:numCache>
                <c:formatCode>General</c:formatCode>
                <c:ptCount val="3"/>
                <c:pt idx="0">
                  <c:v>72.400000000000006</c:v>
                </c:pt>
                <c:pt idx="1">
                  <c:v>69.900000000000006</c:v>
                </c:pt>
              </c:numCache>
            </c:numRef>
          </c:val>
        </c:ser>
        <c:ser>
          <c:idx val="1"/>
          <c:order val="1"/>
          <c:tx>
            <c:strRef>
              <c:f>Sheet1!$A$3</c:f>
              <c:strCache>
                <c:ptCount val="1"/>
                <c:pt idx="0">
                  <c:v>новоутворення</c:v>
                </c:pt>
              </c:strCache>
            </c:strRef>
          </c:tx>
          <c:spPr>
            <a:solidFill>
              <a:srgbClr val="008000"/>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Sheet1!$B$3:$D$3</c:f>
              <c:numCache>
                <c:formatCode>General</c:formatCode>
                <c:ptCount val="3"/>
                <c:pt idx="0">
                  <c:v>13.1</c:v>
                </c:pt>
                <c:pt idx="1">
                  <c:v>13.4</c:v>
                </c:pt>
              </c:numCache>
            </c:numRef>
          </c:val>
        </c:ser>
        <c:ser>
          <c:idx val="2"/>
          <c:order val="2"/>
          <c:tx>
            <c:strRef>
              <c:f>Sheet1!$A$4</c:f>
              <c:strCache>
                <c:ptCount val="1"/>
              </c:strCache>
            </c:strRef>
          </c:tx>
          <c:spPr>
            <a:solidFill>
              <a:srgbClr val="FF0000"/>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Sheet1!$B$4:$D$4</c:f>
            </c:numRef>
          </c:val>
        </c:ser>
        <c:ser>
          <c:idx val="3"/>
          <c:order val="3"/>
          <c:tx>
            <c:strRef>
              <c:f>Sheet1!$A$5</c:f>
              <c:strCache>
                <c:ptCount val="1"/>
              </c:strCache>
            </c:strRef>
          </c:tx>
          <c:spPr>
            <a:solidFill>
              <a:srgbClr val="CCFFFF"/>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Sheet1!$B$5:$D$5</c:f>
            </c:numRef>
          </c:val>
        </c:ser>
        <c:ser>
          <c:idx val="4"/>
          <c:order val="4"/>
          <c:tx>
            <c:strRef>
              <c:f>Sheet1!$A$6</c:f>
              <c:strCache>
                <c:ptCount val="1"/>
              </c:strCache>
            </c:strRef>
          </c:tx>
          <c:spPr>
            <a:solidFill>
              <a:srgbClr val="660066"/>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Sheet1!$B$6:$D$6</c:f>
            </c:numRef>
          </c:val>
        </c:ser>
        <c:ser>
          <c:idx val="5"/>
          <c:order val="5"/>
          <c:tx>
            <c:strRef>
              <c:f>Sheet1!$A$7</c:f>
              <c:strCache>
                <c:ptCount val="1"/>
              </c:strCache>
            </c:strRef>
          </c:tx>
          <c:spPr>
            <a:solidFill>
              <a:srgbClr val="FFFF00"/>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Sheet1!$B$7:$D$7</c:f>
            </c:numRef>
          </c:val>
        </c:ser>
        <c:ser>
          <c:idx val="6"/>
          <c:order val="6"/>
          <c:tx>
            <c:strRef>
              <c:f>Sheet1!$A$8</c:f>
              <c:strCache>
                <c:ptCount val="1"/>
                <c:pt idx="0">
                  <c:v>травми та отруєння</c:v>
                </c:pt>
              </c:strCache>
            </c:strRef>
          </c:tx>
          <c:spPr>
            <a:solidFill>
              <a:srgbClr val="FF00FF"/>
            </a:solidFill>
            <a:ln w="8452">
              <a:solidFill>
                <a:srgbClr val="000000"/>
              </a:solidFill>
              <a:prstDash val="solid"/>
            </a:ln>
          </c:spPr>
          <c:invertIfNegative val="0"/>
          <c:cat>
            <c:numRef>
              <c:f>Sheet1!$B$1:$D$1</c:f>
              <c:numCache>
                <c:formatCode>General</c:formatCode>
                <c:ptCount val="3"/>
                <c:pt idx="0">
                  <c:v>2012</c:v>
                </c:pt>
                <c:pt idx="1">
                  <c:v>2013</c:v>
                </c:pt>
              </c:numCache>
            </c:numRef>
          </c:cat>
          <c:val>
            <c:numRef>
              <c:f>Sheet1!$B$8:$D$8</c:f>
              <c:numCache>
                <c:formatCode>General</c:formatCode>
                <c:ptCount val="3"/>
                <c:pt idx="0">
                  <c:v>7.5</c:v>
                </c:pt>
                <c:pt idx="1">
                  <c:v>7.3</c:v>
                </c:pt>
              </c:numCache>
            </c:numRef>
          </c:val>
        </c:ser>
        <c:dLbls>
          <c:showLegendKey val="0"/>
          <c:showVal val="0"/>
          <c:showCatName val="0"/>
          <c:showSerName val="0"/>
          <c:showPercent val="0"/>
          <c:showBubbleSize val="0"/>
        </c:dLbls>
        <c:gapWidth val="150"/>
        <c:gapDepth val="0"/>
        <c:shape val="cylinder"/>
        <c:axId val="282190592"/>
        <c:axId val="282192128"/>
        <c:axId val="0"/>
      </c:bar3DChart>
      <c:catAx>
        <c:axId val="282190592"/>
        <c:scaling>
          <c:orientation val="minMax"/>
        </c:scaling>
        <c:delete val="0"/>
        <c:axPos val="b"/>
        <c:numFmt formatCode="General" sourceLinked="1"/>
        <c:majorTickMark val="out"/>
        <c:minorTickMark val="none"/>
        <c:tickLblPos val="low"/>
        <c:spPr>
          <a:ln w="2113">
            <a:solidFill>
              <a:srgbClr val="000000"/>
            </a:solidFill>
            <a:prstDash val="solid"/>
          </a:ln>
        </c:spPr>
        <c:txPr>
          <a:bodyPr rot="0" vert="horz"/>
          <a:lstStyle/>
          <a:p>
            <a:pPr>
              <a:defRPr lang="ru-RU" sz="1049" b="1" i="0" u="none" strike="noStrike" baseline="0">
                <a:solidFill>
                  <a:srgbClr val="000000"/>
                </a:solidFill>
                <a:latin typeface="Arial Cyr"/>
                <a:ea typeface="Arial Cyr"/>
                <a:cs typeface="Arial Cyr"/>
              </a:defRPr>
            </a:pPr>
            <a:endParaRPr lang="ru-RU"/>
          </a:p>
        </c:txPr>
        <c:crossAx val="282192128"/>
        <c:crosses val="autoZero"/>
        <c:auto val="1"/>
        <c:lblAlgn val="ctr"/>
        <c:lblOffset val="100"/>
        <c:tickLblSkip val="1"/>
        <c:tickMarkSkip val="1"/>
        <c:noMultiLvlLbl val="0"/>
      </c:catAx>
      <c:valAx>
        <c:axId val="282192128"/>
        <c:scaling>
          <c:orientation val="minMax"/>
        </c:scaling>
        <c:delete val="0"/>
        <c:axPos val="l"/>
        <c:majorGridlines>
          <c:spPr>
            <a:ln w="2113">
              <a:solidFill>
                <a:srgbClr val="000000"/>
              </a:solidFill>
              <a:prstDash val="solid"/>
            </a:ln>
          </c:spPr>
        </c:majorGridlines>
        <c:numFmt formatCode="General" sourceLinked="1"/>
        <c:majorTickMark val="out"/>
        <c:minorTickMark val="none"/>
        <c:tickLblPos val="nextTo"/>
        <c:spPr>
          <a:ln w="2113">
            <a:solidFill>
              <a:srgbClr val="000000"/>
            </a:solidFill>
            <a:prstDash val="solid"/>
          </a:ln>
        </c:spPr>
        <c:txPr>
          <a:bodyPr rot="0" vert="horz"/>
          <a:lstStyle/>
          <a:p>
            <a:pPr>
              <a:defRPr lang="ru-RU" sz="933" b="1" i="0" u="none" strike="noStrike" baseline="0">
                <a:solidFill>
                  <a:srgbClr val="000000"/>
                </a:solidFill>
                <a:latin typeface="Arial Cyr"/>
                <a:ea typeface="Arial Cyr"/>
                <a:cs typeface="Arial Cyr"/>
              </a:defRPr>
            </a:pPr>
            <a:endParaRPr lang="ru-RU"/>
          </a:p>
        </c:txPr>
        <c:crossAx val="282190592"/>
        <c:crosses val="autoZero"/>
        <c:crossBetween val="between"/>
      </c:valAx>
      <c:spPr>
        <a:noFill/>
        <a:ln w="16925">
          <a:noFill/>
        </a:ln>
      </c:spPr>
    </c:plotArea>
    <c:legend>
      <c:legendPos val="r"/>
      <c:legendEntry>
        <c:idx val="0"/>
        <c:txPr>
          <a:bodyPr/>
          <a:lstStyle/>
          <a:p>
            <a:pPr>
              <a:defRPr sz="1000" b="1" i="0" u="none" strike="noStrike" baseline="0">
                <a:solidFill>
                  <a:srgbClr val="000000"/>
                </a:solidFill>
                <a:latin typeface="Times New Roman CE"/>
                <a:ea typeface="Times New Roman CE"/>
                <a:cs typeface="Times New Roman CE"/>
              </a:defRPr>
            </a:pPr>
            <a:endParaRPr lang="ru-RU"/>
          </a:p>
        </c:txPr>
      </c:legendEntry>
      <c:legendEntry>
        <c:idx val="1"/>
        <c:txPr>
          <a:bodyPr/>
          <a:lstStyle/>
          <a:p>
            <a:pPr>
              <a:defRPr sz="1000" b="1" i="0" u="none" strike="noStrike" baseline="0">
                <a:solidFill>
                  <a:srgbClr val="000000"/>
                </a:solidFill>
                <a:latin typeface="Times New Roman CE"/>
                <a:ea typeface="Times New Roman CE"/>
                <a:cs typeface="Times New Roman CE"/>
              </a:defRPr>
            </a:pPr>
            <a:endParaRPr lang="ru-RU"/>
          </a:p>
        </c:txPr>
      </c:legendEntry>
      <c:legendEntry>
        <c:idx val="2"/>
        <c:txPr>
          <a:bodyPr/>
          <a:lstStyle/>
          <a:p>
            <a:pPr>
              <a:defRPr sz="1000" b="1" i="0" u="none" strike="noStrike" baseline="0">
                <a:solidFill>
                  <a:srgbClr val="000000"/>
                </a:solidFill>
                <a:latin typeface="Times New Roman CE"/>
                <a:ea typeface="Times New Roman CE"/>
                <a:cs typeface="Times New Roman CE"/>
              </a:defRPr>
            </a:pPr>
            <a:endParaRPr lang="ru-RU"/>
          </a:p>
        </c:txPr>
      </c:legendEntry>
      <c:layout>
        <c:manualLayout>
          <c:xMode val="edge"/>
          <c:yMode val="edge"/>
          <c:x val="0.61082817934955491"/>
          <c:y val="0.2637362637362638"/>
          <c:w val="0.34072889037018611"/>
          <c:h val="0.46764346764346781"/>
        </c:manualLayout>
      </c:layout>
      <c:overlay val="0"/>
      <c:spPr>
        <a:noFill/>
        <a:ln w="2113">
          <a:solidFill>
            <a:srgbClr val="000000"/>
          </a:solidFill>
          <a:prstDash val="solid"/>
        </a:ln>
      </c:spPr>
      <c:txPr>
        <a:bodyPr/>
        <a:lstStyle/>
        <a:p>
          <a:pPr>
            <a:defRPr lang="ru-RU" sz="732" b="1" i="0" u="none" strike="noStrike" baseline="0">
              <a:solidFill>
                <a:srgbClr val="000000"/>
              </a:solidFill>
              <a:latin typeface="Times New Roman CE"/>
              <a:ea typeface="Times New Roman CE"/>
              <a:cs typeface="Times New Roman CE"/>
            </a:defRPr>
          </a:pPr>
          <a:endParaRPr lang="ru-RU"/>
        </a:p>
      </c:txPr>
    </c:legend>
    <c:plotVisOnly val="1"/>
    <c:dispBlanksAs val="gap"/>
    <c:showDLblsOverMax val="0"/>
  </c:chart>
  <c:spPr>
    <a:noFill/>
    <a:ln>
      <a:noFill/>
    </a:ln>
  </c:spPr>
  <c:txPr>
    <a:bodyPr/>
    <a:lstStyle/>
    <a:p>
      <a:pPr>
        <a:defRPr sz="1049"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997263639917433E-2"/>
          <c:y val="8.0789449573423655E-2"/>
          <c:w val="0.51515151515151514"/>
          <c:h val="0.76359832635983504"/>
        </c:manualLayout>
      </c:layout>
      <c:barChart>
        <c:barDir val="bar"/>
        <c:grouping val="clustered"/>
        <c:varyColors val="0"/>
        <c:ser>
          <c:idx val="0"/>
          <c:order val="0"/>
          <c:tx>
            <c:strRef>
              <c:f>Sheet1!$A$2</c:f>
              <c:strCache>
                <c:ptCount val="1"/>
                <c:pt idx="0">
                  <c:v>ХСК 40 %</c:v>
                </c:pt>
              </c:strCache>
            </c:strRef>
          </c:tx>
          <c:spPr>
            <a:solidFill>
              <a:srgbClr val="9999FF"/>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Sheet1!$B$2:$B$2</c:f>
              <c:numCache>
                <c:formatCode>General</c:formatCode>
                <c:ptCount val="1"/>
                <c:pt idx="0">
                  <c:v>40</c:v>
                </c:pt>
              </c:numCache>
            </c:numRef>
          </c:val>
        </c:ser>
        <c:ser>
          <c:idx val="14"/>
          <c:order val="1"/>
          <c:tx>
            <c:strRef>
              <c:f>Sheet1!$A$3</c:f>
              <c:strCache>
                <c:ptCount val="1"/>
                <c:pt idx="0">
                  <c:v>Хвороби органів травлення 16,2 % </c:v>
                </c:pt>
              </c:strCache>
            </c:strRef>
          </c:tx>
          <c:spPr>
            <a:solidFill>
              <a:srgbClr val="008080"/>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Sheet1!$B$3:$B$3</c:f>
              <c:numCache>
                <c:formatCode>General</c:formatCode>
                <c:ptCount val="1"/>
                <c:pt idx="0">
                  <c:v>16.2</c:v>
                </c:pt>
              </c:numCache>
            </c:numRef>
          </c:val>
        </c:ser>
        <c:ser>
          <c:idx val="16"/>
          <c:order val="2"/>
          <c:tx>
            <c:strRef>
              <c:f>Sheet1!$A$4</c:f>
              <c:strCache>
                <c:ptCount val="1"/>
                <c:pt idx="0">
                  <c:v>Хвороби ендокринної  системи  8,4 %</c:v>
                </c:pt>
              </c:strCache>
            </c:strRef>
          </c:tx>
          <c:spPr>
            <a:solidFill>
              <a:srgbClr val="00CCFF"/>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Sheet1!$B$4:$B$4</c:f>
              <c:numCache>
                <c:formatCode>General</c:formatCode>
                <c:ptCount val="1"/>
                <c:pt idx="0">
                  <c:v>8.4</c:v>
                </c:pt>
              </c:numCache>
            </c:numRef>
          </c:val>
        </c:ser>
        <c:ser>
          <c:idx val="18"/>
          <c:order val="3"/>
          <c:tx>
            <c:strRef>
              <c:f>Sheet1!$A$5</c:f>
              <c:strCache>
                <c:ptCount val="1"/>
                <c:pt idx="0">
                  <c:v>Хвороби  органів  дихання 6,2% </c:v>
                </c:pt>
              </c:strCache>
            </c:strRef>
          </c:tx>
          <c:spPr>
            <a:solidFill>
              <a:srgbClr val="CCFFCC"/>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Sheet1!$B$5:$B$5</c:f>
              <c:numCache>
                <c:formatCode>General</c:formatCode>
                <c:ptCount val="1"/>
                <c:pt idx="0">
                  <c:v>6.2</c:v>
                </c:pt>
              </c:numCache>
            </c:numRef>
          </c:val>
        </c:ser>
        <c:ser>
          <c:idx val="19"/>
          <c:order val="4"/>
          <c:tx>
            <c:strRef>
              <c:f>Sheet1!$A$6</c:f>
              <c:strCache>
                <c:ptCount val="1"/>
                <c:pt idx="0">
                  <c:v>Хвороби  сечостатевої  системи 5,5 %</c:v>
                </c:pt>
              </c:strCache>
            </c:strRef>
          </c:tx>
          <c:spPr>
            <a:solidFill>
              <a:srgbClr val="FFFF99"/>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Sheet1!$B$6:$B$6</c:f>
              <c:numCache>
                <c:formatCode>General</c:formatCode>
                <c:ptCount val="1"/>
                <c:pt idx="0">
                  <c:v>5.5</c:v>
                </c:pt>
              </c:numCache>
            </c:numRef>
          </c:val>
        </c:ser>
        <c:ser>
          <c:idx val="15"/>
          <c:order val="5"/>
          <c:tx>
            <c:strRef>
              <c:f>Sheet1!$A$7</c:f>
              <c:strCache>
                <c:ptCount val="1"/>
                <c:pt idx="0">
                  <c:v>Новоутворення  5 %</c:v>
                </c:pt>
              </c:strCache>
            </c:strRef>
          </c:tx>
          <c:spPr>
            <a:solidFill>
              <a:srgbClr val="0000FF"/>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Sheet1!$B$7:$B$7</c:f>
              <c:numCache>
                <c:formatCode>General</c:formatCode>
                <c:ptCount val="1"/>
                <c:pt idx="0">
                  <c:v>5</c:v>
                </c:pt>
              </c:numCache>
            </c:numRef>
          </c:val>
        </c:ser>
        <c:ser>
          <c:idx val="21"/>
          <c:order val="6"/>
          <c:tx>
            <c:strRef>
              <c:f>Sheet1!$A$8</c:f>
              <c:strCache>
                <c:ptCount val="1"/>
                <c:pt idx="0">
                  <c:v>Розлади  психіки та повчедінки  4,6 % </c:v>
                </c:pt>
              </c:strCache>
            </c:strRef>
          </c:tx>
          <c:spPr>
            <a:solidFill>
              <a:srgbClr val="FF99CC"/>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Sheet1!$B$8:$B$8</c:f>
              <c:numCache>
                <c:formatCode>General</c:formatCode>
                <c:ptCount val="1"/>
                <c:pt idx="0">
                  <c:v>4.5999999999999996</c:v>
                </c:pt>
              </c:numCache>
            </c:numRef>
          </c:val>
        </c:ser>
        <c:ser>
          <c:idx val="22"/>
          <c:order val="7"/>
          <c:tx>
            <c:strRef>
              <c:f>Sheet1!$A$9</c:f>
              <c:strCache>
                <c:ptCount val="1"/>
                <c:pt idx="0">
                  <c:v>Хвороби кістково - мязової  системи  4 % </c:v>
                </c:pt>
              </c:strCache>
            </c:strRef>
          </c:tx>
          <c:spPr>
            <a:solidFill>
              <a:srgbClr val="CC99FF"/>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Sheet1!$B$9:$B$9</c:f>
              <c:numCache>
                <c:formatCode>General</c:formatCode>
                <c:ptCount val="1"/>
                <c:pt idx="0">
                  <c:v>4</c:v>
                </c:pt>
              </c:numCache>
            </c:numRef>
          </c:val>
        </c:ser>
        <c:ser>
          <c:idx val="23"/>
          <c:order val="8"/>
          <c:tx>
            <c:strRef>
              <c:f>Sheet1!$A$10</c:f>
              <c:strCache>
                <c:ptCount val="1"/>
                <c:pt idx="0">
                  <c:v>Хвороби ока та придаткового апарату  2,3 %</c:v>
                </c:pt>
              </c:strCache>
            </c:strRef>
          </c:tx>
          <c:spPr>
            <a:solidFill>
              <a:srgbClr val="FFCC99"/>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Sheet1!$B$10:$B$10</c:f>
              <c:numCache>
                <c:formatCode>General</c:formatCode>
                <c:ptCount val="1"/>
                <c:pt idx="0">
                  <c:v>2.2999999999999998</c:v>
                </c:pt>
              </c:numCache>
            </c:numRef>
          </c:val>
        </c:ser>
        <c:ser>
          <c:idx val="20"/>
          <c:order val="9"/>
          <c:tx>
            <c:strRef>
              <c:f>Sheet1!$A$11</c:f>
              <c:strCache>
                <c:ptCount val="1"/>
                <c:pt idx="0">
                  <c:v>Хвороби нервової системи 1,8 % </c:v>
                </c:pt>
              </c:strCache>
            </c:strRef>
          </c:tx>
          <c:spPr>
            <a:solidFill>
              <a:srgbClr val="99CCFF"/>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Sheet1!$B$11:$B$11</c:f>
              <c:numCache>
                <c:formatCode>General</c:formatCode>
                <c:ptCount val="1"/>
                <c:pt idx="0">
                  <c:v>1.8</c:v>
                </c:pt>
              </c:numCache>
            </c:numRef>
          </c:val>
        </c:ser>
        <c:ser>
          <c:idx val="24"/>
          <c:order val="10"/>
          <c:tx>
            <c:strRef>
              <c:f>Sheet1!$A$12</c:f>
              <c:strCache>
                <c:ptCount val="1"/>
                <c:pt idx="0">
                  <c:v>Хвороби крові  та  кровотворних  органів  1,5 % </c:v>
                </c:pt>
              </c:strCache>
            </c:strRef>
          </c:tx>
          <c:spPr>
            <a:solidFill>
              <a:srgbClr val="3366FF"/>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Sheet1!$B$12:$B$12</c:f>
              <c:numCache>
                <c:formatCode>General</c:formatCode>
                <c:ptCount val="1"/>
                <c:pt idx="0">
                  <c:v>1.5</c:v>
                </c:pt>
              </c:numCache>
            </c:numRef>
          </c:val>
        </c:ser>
        <c:ser>
          <c:idx val="1"/>
          <c:order val="11"/>
          <c:tx>
            <c:strRef>
              <c:f>Sheet1!$A$13</c:f>
              <c:strCache>
                <c:ptCount val="1"/>
                <c:pt idx="0">
                  <c:v>Інфекційні та  паразитарні 1,4 %</c:v>
                </c:pt>
              </c:strCache>
            </c:strRef>
          </c:tx>
          <c:spPr>
            <a:solidFill>
              <a:srgbClr val="993366"/>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Sheet1!$B$13:$B$13</c:f>
              <c:numCache>
                <c:formatCode>General</c:formatCode>
                <c:ptCount val="1"/>
                <c:pt idx="0">
                  <c:v>1.4</c:v>
                </c:pt>
              </c:numCache>
            </c:numRef>
          </c:val>
        </c:ser>
        <c:ser>
          <c:idx val="17"/>
          <c:order val="12"/>
          <c:tx>
            <c:strRef>
              <c:f>Sheet1!$A$14</c:f>
              <c:strCache>
                <c:ptCount val="1"/>
                <c:pt idx="0">
                  <c:v>Травми та  отруєння  0,8 % </c:v>
                </c:pt>
              </c:strCache>
            </c:strRef>
          </c:tx>
          <c:spPr>
            <a:solidFill>
              <a:srgbClr val="CCFFFF"/>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Sheet1!$B$14:$B$14</c:f>
              <c:numCache>
                <c:formatCode>General</c:formatCode>
                <c:ptCount val="1"/>
                <c:pt idx="0">
                  <c:v>0.8</c:v>
                </c:pt>
              </c:numCache>
            </c:numRef>
          </c:val>
        </c:ser>
        <c:ser>
          <c:idx val="2"/>
          <c:order val="13"/>
          <c:tx>
            <c:strRef>
              <c:f>Sheet1!$A$15</c:f>
              <c:strCache>
                <c:ptCount val="1"/>
                <c:pt idx="0">
                  <c:v>Уроджені і хромосомні порушення  0,5 % </c:v>
                </c:pt>
              </c:strCache>
            </c:strRef>
          </c:tx>
          <c:spPr>
            <a:solidFill>
              <a:srgbClr val="FFFFCC"/>
            </a:solidFill>
            <a:ln w="9503">
              <a:solidFill>
                <a:srgbClr val="000000"/>
              </a:solidFill>
              <a:prstDash val="solid"/>
            </a:ln>
          </c:spPr>
          <c:invertIfNegative val="0"/>
          <c:dLbls>
            <c:spPr>
              <a:noFill/>
              <a:ln w="19006">
                <a:noFill/>
              </a:ln>
            </c:spPr>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pt idx="0">
                  <c:v>2013</c:v>
                </c:pt>
              </c:numCache>
            </c:numRef>
          </c:cat>
          <c:val>
            <c:numRef>
              <c:f>Sheet1!$B$15:$B$15</c:f>
              <c:numCache>
                <c:formatCode>General</c:formatCode>
                <c:ptCount val="1"/>
                <c:pt idx="0">
                  <c:v>0.5</c:v>
                </c:pt>
              </c:numCache>
            </c:numRef>
          </c:val>
        </c:ser>
        <c:dLbls>
          <c:showLegendKey val="0"/>
          <c:showVal val="1"/>
          <c:showCatName val="0"/>
          <c:showSerName val="0"/>
          <c:showPercent val="0"/>
          <c:showBubbleSize val="0"/>
        </c:dLbls>
        <c:gapWidth val="150"/>
        <c:axId val="264580096"/>
        <c:axId val="264594176"/>
      </c:barChart>
      <c:catAx>
        <c:axId val="264580096"/>
        <c:scaling>
          <c:orientation val="minMax"/>
        </c:scaling>
        <c:delete val="0"/>
        <c:axPos val="l"/>
        <c:numFmt formatCode="General" sourceLinked="1"/>
        <c:majorTickMark val="out"/>
        <c:minorTickMark val="none"/>
        <c:tickLblPos val="nextTo"/>
        <c:spPr>
          <a:ln w="2376">
            <a:solidFill>
              <a:srgbClr val="000000"/>
            </a:solidFill>
            <a:prstDash val="solid"/>
          </a:ln>
        </c:spPr>
        <c:txPr>
          <a:bodyPr rot="0" vert="horz"/>
          <a:lstStyle/>
          <a:p>
            <a:pPr>
              <a:defRPr lang="ru-RU" sz="800" b="1" i="0" u="none" strike="noStrike" baseline="0">
                <a:solidFill>
                  <a:srgbClr val="000000"/>
                </a:solidFill>
                <a:latin typeface="Calibri"/>
                <a:ea typeface="Calibri"/>
                <a:cs typeface="Calibri"/>
              </a:defRPr>
            </a:pPr>
            <a:endParaRPr lang="ru-RU"/>
          </a:p>
        </c:txPr>
        <c:crossAx val="264594176"/>
        <c:crosses val="autoZero"/>
        <c:auto val="1"/>
        <c:lblAlgn val="ctr"/>
        <c:lblOffset val="100"/>
        <c:tickLblSkip val="1"/>
        <c:tickMarkSkip val="1"/>
        <c:noMultiLvlLbl val="0"/>
      </c:catAx>
      <c:valAx>
        <c:axId val="264594176"/>
        <c:scaling>
          <c:orientation val="minMax"/>
        </c:scaling>
        <c:delete val="0"/>
        <c:axPos val="b"/>
        <c:majorGridlines>
          <c:spPr>
            <a:ln w="2376">
              <a:solidFill>
                <a:srgbClr val="000000"/>
              </a:solidFill>
              <a:prstDash val="solid"/>
            </a:ln>
          </c:spPr>
        </c:majorGridlines>
        <c:numFmt formatCode="General" sourceLinked="1"/>
        <c:majorTickMark val="out"/>
        <c:minorTickMark val="none"/>
        <c:tickLblPos val="nextTo"/>
        <c:spPr>
          <a:ln w="2376">
            <a:solidFill>
              <a:srgbClr val="000000"/>
            </a:solidFill>
            <a:prstDash val="solid"/>
          </a:ln>
        </c:spPr>
        <c:txPr>
          <a:bodyPr rot="0" vert="horz"/>
          <a:lstStyle/>
          <a:p>
            <a:pPr>
              <a:defRPr lang="ru-RU" sz="800" b="1" i="0" u="none" strike="noStrike" baseline="0">
                <a:solidFill>
                  <a:srgbClr val="000000"/>
                </a:solidFill>
                <a:latin typeface="Calibri"/>
                <a:ea typeface="Calibri"/>
                <a:cs typeface="Calibri"/>
              </a:defRPr>
            </a:pPr>
            <a:endParaRPr lang="ru-RU"/>
          </a:p>
        </c:txPr>
        <c:crossAx val="264580096"/>
        <c:crosses val="autoZero"/>
        <c:crossBetween val="between"/>
      </c:valAx>
      <c:spPr>
        <a:solidFill>
          <a:srgbClr val="C0C0C0"/>
        </a:solidFill>
        <a:ln w="9503">
          <a:solidFill>
            <a:srgbClr val="808080"/>
          </a:solidFill>
          <a:prstDash val="solid"/>
        </a:ln>
      </c:spPr>
    </c:plotArea>
    <c:legend>
      <c:legendPos val="r"/>
      <c:legendEntry>
        <c:idx val="0"/>
        <c:txPr>
          <a:bodyPr/>
          <a:lstStyle/>
          <a:p>
            <a:pPr>
              <a:defRPr sz="800" b="1" i="0" u="none" strike="noStrike" baseline="0">
                <a:solidFill>
                  <a:srgbClr val="000000"/>
                </a:solidFill>
                <a:latin typeface="Calibri"/>
                <a:ea typeface="Calibri"/>
                <a:cs typeface="Calibri"/>
              </a:defRPr>
            </a:pPr>
            <a:endParaRPr lang="ru-RU"/>
          </a:p>
        </c:txPr>
      </c:legendEntry>
      <c:legendEntry>
        <c:idx val="1"/>
        <c:txPr>
          <a:bodyPr/>
          <a:lstStyle/>
          <a:p>
            <a:pPr>
              <a:defRPr sz="800" b="1" i="0" u="none" strike="noStrike" baseline="0">
                <a:solidFill>
                  <a:srgbClr val="000000"/>
                </a:solidFill>
                <a:latin typeface="Calibri"/>
                <a:ea typeface="Calibri"/>
                <a:cs typeface="Calibri"/>
              </a:defRPr>
            </a:pPr>
            <a:endParaRPr lang="ru-RU"/>
          </a:p>
        </c:txPr>
      </c:legendEntry>
      <c:legendEntry>
        <c:idx val="2"/>
        <c:txPr>
          <a:bodyPr/>
          <a:lstStyle/>
          <a:p>
            <a:pPr>
              <a:defRPr sz="800" b="1" i="0" u="none" strike="noStrike" baseline="0">
                <a:solidFill>
                  <a:srgbClr val="000000"/>
                </a:solidFill>
                <a:latin typeface="Calibri"/>
                <a:ea typeface="Calibri"/>
                <a:cs typeface="Calibri"/>
              </a:defRPr>
            </a:pPr>
            <a:endParaRPr lang="ru-RU"/>
          </a:p>
        </c:txPr>
      </c:legendEntry>
      <c:legendEntry>
        <c:idx val="3"/>
        <c:txPr>
          <a:bodyPr/>
          <a:lstStyle/>
          <a:p>
            <a:pPr>
              <a:defRPr sz="800" b="1" i="0" u="none" strike="noStrike" baseline="0">
                <a:solidFill>
                  <a:srgbClr val="000000"/>
                </a:solidFill>
                <a:latin typeface="Calibri"/>
                <a:ea typeface="Calibri"/>
                <a:cs typeface="Calibri"/>
              </a:defRPr>
            </a:pPr>
            <a:endParaRPr lang="ru-RU"/>
          </a:p>
        </c:txPr>
      </c:legendEntry>
      <c:legendEntry>
        <c:idx val="4"/>
        <c:txPr>
          <a:bodyPr/>
          <a:lstStyle/>
          <a:p>
            <a:pPr>
              <a:defRPr sz="800" b="1" i="0" u="none" strike="noStrike" baseline="0">
                <a:solidFill>
                  <a:srgbClr val="000000"/>
                </a:solidFill>
                <a:latin typeface="Calibri"/>
                <a:ea typeface="Calibri"/>
                <a:cs typeface="Calibri"/>
              </a:defRPr>
            </a:pPr>
            <a:endParaRPr lang="ru-RU"/>
          </a:p>
        </c:txPr>
      </c:legendEntry>
      <c:legendEntry>
        <c:idx val="5"/>
        <c:txPr>
          <a:bodyPr/>
          <a:lstStyle/>
          <a:p>
            <a:pPr>
              <a:defRPr sz="800" b="1" i="0" u="none" strike="noStrike" baseline="0">
                <a:solidFill>
                  <a:srgbClr val="000000"/>
                </a:solidFill>
                <a:latin typeface="Calibri"/>
                <a:ea typeface="Calibri"/>
                <a:cs typeface="Calibri"/>
              </a:defRPr>
            </a:pPr>
            <a:endParaRPr lang="ru-RU"/>
          </a:p>
        </c:txPr>
      </c:legendEntry>
      <c:legendEntry>
        <c:idx val="6"/>
        <c:txPr>
          <a:bodyPr/>
          <a:lstStyle/>
          <a:p>
            <a:pPr>
              <a:defRPr sz="800" b="1" i="0" u="none" strike="noStrike" baseline="0">
                <a:solidFill>
                  <a:srgbClr val="000000"/>
                </a:solidFill>
                <a:latin typeface="Calibri"/>
                <a:ea typeface="Calibri"/>
                <a:cs typeface="Calibri"/>
              </a:defRPr>
            </a:pPr>
            <a:endParaRPr lang="ru-RU"/>
          </a:p>
        </c:txPr>
      </c:legendEntry>
      <c:legendEntry>
        <c:idx val="7"/>
        <c:txPr>
          <a:bodyPr/>
          <a:lstStyle/>
          <a:p>
            <a:pPr>
              <a:defRPr sz="800" b="1" i="0" u="none" strike="noStrike" baseline="0">
                <a:solidFill>
                  <a:srgbClr val="000000"/>
                </a:solidFill>
                <a:latin typeface="Calibri"/>
                <a:ea typeface="Calibri"/>
                <a:cs typeface="Calibri"/>
              </a:defRPr>
            </a:pPr>
            <a:endParaRPr lang="ru-RU"/>
          </a:p>
        </c:txPr>
      </c:legendEntry>
      <c:legendEntry>
        <c:idx val="8"/>
        <c:txPr>
          <a:bodyPr/>
          <a:lstStyle/>
          <a:p>
            <a:pPr>
              <a:defRPr sz="800" b="1" i="0" u="none" strike="noStrike" baseline="0">
                <a:solidFill>
                  <a:srgbClr val="000000"/>
                </a:solidFill>
                <a:latin typeface="Calibri"/>
                <a:ea typeface="Calibri"/>
                <a:cs typeface="Calibri"/>
              </a:defRPr>
            </a:pPr>
            <a:endParaRPr lang="ru-RU"/>
          </a:p>
        </c:txPr>
      </c:legendEntry>
      <c:legendEntry>
        <c:idx val="9"/>
        <c:txPr>
          <a:bodyPr/>
          <a:lstStyle/>
          <a:p>
            <a:pPr>
              <a:defRPr sz="800" b="1" i="0" u="none" strike="noStrike" baseline="0">
                <a:solidFill>
                  <a:srgbClr val="000000"/>
                </a:solidFill>
                <a:latin typeface="Calibri"/>
                <a:ea typeface="Calibri"/>
                <a:cs typeface="Calibri"/>
              </a:defRPr>
            </a:pPr>
            <a:endParaRPr lang="ru-RU"/>
          </a:p>
        </c:txPr>
      </c:legendEntry>
      <c:legendEntry>
        <c:idx val="10"/>
        <c:txPr>
          <a:bodyPr/>
          <a:lstStyle/>
          <a:p>
            <a:pPr>
              <a:defRPr sz="800" b="1" i="0" u="none" strike="noStrike" baseline="0">
                <a:solidFill>
                  <a:srgbClr val="000000"/>
                </a:solidFill>
                <a:latin typeface="Calibri"/>
                <a:ea typeface="Calibri"/>
                <a:cs typeface="Calibri"/>
              </a:defRPr>
            </a:pPr>
            <a:endParaRPr lang="ru-RU"/>
          </a:p>
        </c:txPr>
      </c:legendEntry>
      <c:legendEntry>
        <c:idx val="11"/>
        <c:txPr>
          <a:bodyPr/>
          <a:lstStyle/>
          <a:p>
            <a:pPr>
              <a:defRPr sz="800" b="1" i="0" u="none" strike="noStrike" baseline="0">
                <a:solidFill>
                  <a:srgbClr val="000000"/>
                </a:solidFill>
                <a:latin typeface="Calibri"/>
                <a:ea typeface="Calibri"/>
                <a:cs typeface="Calibri"/>
              </a:defRPr>
            </a:pPr>
            <a:endParaRPr lang="ru-RU"/>
          </a:p>
        </c:txPr>
      </c:legendEntry>
      <c:legendEntry>
        <c:idx val="12"/>
        <c:txPr>
          <a:bodyPr/>
          <a:lstStyle/>
          <a:p>
            <a:pPr>
              <a:defRPr sz="800" b="1" i="0" u="none" strike="noStrike" baseline="0">
                <a:solidFill>
                  <a:srgbClr val="000000"/>
                </a:solidFill>
                <a:latin typeface="Calibri"/>
                <a:ea typeface="Calibri"/>
                <a:cs typeface="Calibri"/>
              </a:defRPr>
            </a:pPr>
            <a:endParaRPr lang="ru-RU"/>
          </a:p>
        </c:txPr>
      </c:legendEntry>
      <c:legendEntry>
        <c:idx val="13"/>
        <c:txPr>
          <a:bodyPr/>
          <a:lstStyle/>
          <a:p>
            <a:pPr>
              <a:defRPr sz="800" b="1" i="0" u="none" strike="noStrike" baseline="0">
                <a:solidFill>
                  <a:srgbClr val="000000"/>
                </a:solidFill>
                <a:latin typeface="Calibri"/>
                <a:ea typeface="Calibri"/>
                <a:cs typeface="Calibri"/>
              </a:defRPr>
            </a:pPr>
            <a:endParaRPr lang="ru-RU"/>
          </a:p>
        </c:txPr>
      </c:legendEntry>
      <c:layout>
        <c:manualLayout>
          <c:xMode val="edge"/>
          <c:yMode val="edge"/>
          <c:x val="0.60470356099104638"/>
          <c:y val="8.712013667696053E-2"/>
          <c:w val="0.32756132756132755"/>
          <c:h val="0.75860520515017982"/>
        </c:manualLayout>
      </c:layout>
      <c:overlay val="0"/>
      <c:spPr>
        <a:noFill/>
        <a:ln w="2376">
          <a:solidFill>
            <a:srgbClr val="000000"/>
          </a:solidFill>
          <a:prstDash val="solid"/>
        </a:ln>
      </c:spPr>
      <c:txPr>
        <a:bodyPr/>
        <a:lstStyle/>
        <a:p>
          <a:pPr>
            <a:defRPr lang="ru-RU" sz="80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497"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ru-RU" sz="1200" b="1" i="0" u="none" strike="noStrike" baseline="0">
                <a:solidFill>
                  <a:srgbClr val="000000"/>
                </a:solidFill>
                <a:latin typeface="Calibri"/>
                <a:ea typeface="Calibri"/>
                <a:cs typeface="Calibri"/>
              </a:defRPr>
            </a:pPr>
            <a:r>
              <a:rPr lang="ru-RU" sz="1200"/>
              <a:t>Загинуло</a:t>
            </a:r>
          </a:p>
        </c:rich>
      </c:tx>
      <c:layout>
        <c:manualLayout>
          <c:xMode val="edge"/>
          <c:yMode val="edge"/>
          <c:x val="0.43906810035842442"/>
          <c:y val="2.1472392638036842E-2"/>
        </c:manualLayout>
      </c:layout>
      <c:overlay val="0"/>
      <c:spPr>
        <a:noFill/>
        <a:ln w="25400">
          <a:noFill/>
        </a:ln>
      </c:spPr>
    </c:title>
    <c:autoTitleDeleted val="0"/>
    <c:view3D>
      <c:rotX val="15"/>
      <c:hPercent val="61"/>
      <c:rotY val="4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0179211469534052E-2"/>
          <c:y val="0.19018404907975417"/>
          <c:w val="0.74910394265232971"/>
          <c:h val="0.6625766871165647"/>
        </c:manualLayout>
      </c:layout>
      <c:bar3DChart>
        <c:barDir val="col"/>
        <c:grouping val="clustered"/>
        <c:varyColors val="0"/>
        <c:ser>
          <c:idx val="0"/>
          <c:order val="0"/>
          <c:tx>
            <c:strRef>
              <c:f>Sheet1!$A$2</c:f>
              <c:strCache>
                <c:ptCount val="1"/>
                <c:pt idx="0">
                  <c:v>2012 рік</c:v>
                </c:pt>
              </c:strCache>
            </c:strRef>
          </c:tx>
          <c:spPr>
            <a:solidFill>
              <a:srgbClr val="9999FF"/>
            </a:solidFill>
            <a:ln w="12700">
              <a:solidFill>
                <a:srgbClr val="000000"/>
              </a:solidFill>
              <a:prstDash val="solid"/>
            </a:ln>
          </c:spPr>
          <c:invertIfNegative val="0"/>
          <c:cat>
            <c:strRef>
              <c:f>Sheet1!$B$1:$E$1</c:f>
              <c:strCache>
                <c:ptCount val="3"/>
                <c:pt idx="0">
                  <c:v>пожежі</c:v>
                </c:pt>
                <c:pt idx="1">
                  <c:v>ДТП</c:v>
                </c:pt>
                <c:pt idx="2">
                  <c:v>вода</c:v>
                </c:pt>
              </c:strCache>
            </c:strRef>
          </c:cat>
          <c:val>
            <c:numRef>
              <c:f>Sheet1!$B$2:$E$2</c:f>
              <c:numCache>
                <c:formatCode>General</c:formatCode>
                <c:ptCount val="4"/>
                <c:pt idx="0">
                  <c:v>3</c:v>
                </c:pt>
                <c:pt idx="1">
                  <c:v>2</c:v>
                </c:pt>
                <c:pt idx="2">
                  <c:v>5</c:v>
                </c:pt>
              </c:numCache>
            </c:numRef>
          </c:val>
        </c:ser>
        <c:ser>
          <c:idx val="1"/>
          <c:order val="1"/>
          <c:tx>
            <c:strRef>
              <c:f>Sheet1!$A$3</c:f>
              <c:strCache>
                <c:ptCount val="1"/>
                <c:pt idx="0">
                  <c:v>2013 рік</c:v>
                </c:pt>
              </c:strCache>
            </c:strRef>
          </c:tx>
          <c:spPr>
            <a:solidFill>
              <a:srgbClr val="993366"/>
            </a:solidFill>
            <a:ln w="12700">
              <a:solidFill>
                <a:srgbClr val="000000"/>
              </a:solidFill>
              <a:prstDash val="solid"/>
            </a:ln>
          </c:spPr>
          <c:invertIfNegative val="0"/>
          <c:cat>
            <c:strRef>
              <c:f>Sheet1!$B$1:$E$1</c:f>
              <c:strCache>
                <c:ptCount val="3"/>
                <c:pt idx="0">
                  <c:v>пожежі</c:v>
                </c:pt>
                <c:pt idx="1">
                  <c:v>ДТП</c:v>
                </c:pt>
                <c:pt idx="2">
                  <c:v>вода</c:v>
                </c:pt>
              </c:strCache>
            </c:strRef>
          </c:cat>
          <c:val>
            <c:numRef>
              <c:f>Sheet1!$B$3:$E$3</c:f>
              <c:numCache>
                <c:formatCode>General</c:formatCode>
                <c:ptCount val="4"/>
                <c:pt idx="0">
                  <c:v>4</c:v>
                </c:pt>
                <c:pt idx="1">
                  <c:v>4</c:v>
                </c:pt>
                <c:pt idx="2">
                  <c:v>2</c:v>
                </c:pt>
              </c:numCache>
            </c:numRef>
          </c:val>
        </c:ser>
        <c:dLbls>
          <c:showLegendKey val="0"/>
          <c:showVal val="0"/>
          <c:showCatName val="0"/>
          <c:showSerName val="0"/>
          <c:showPercent val="0"/>
          <c:showBubbleSize val="0"/>
        </c:dLbls>
        <c:gapWidth val="150"/>
        <c:gapDepth val="0"/>
        <c:shape val="box"/>
        <c:axId val="265006080"/>
        <c:axId val="265011968"/>
        <c:axId val="0"/>
      </c:bar3DChart>
      <c:catAx>
        <c:axId val="26500608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lang="ru-RU" sz="1100" b="1" i="0" u="none" strike="noStrike" baseline="0">
                <a:solidFill>
                  <a:srgbClr val="000000"/>
                </a:solidFill>
                <a:latin typeface="Calibri"/>
                <a:ea typeface="Calibri"/>
                <a:cs typeface="Calibri"/>
              </a:defRPr>
            </a:pPr>
            <a:endParaRPr lang="ru-RU"/>
          </a:p>
        </c:txPr>
        <c:crossAx val="265011968"/>
        <c:crosses val="autoZero"/>
        <c:auto val="1"/>
        <c:lblAlgn val="ctr"/>
        <c:lblOffset val="100"/>
        <c:tickLblSkip val="1"/>
        <c:tickMarkSkip val="1"/>
        <c:noMultiLvlLbl val="0"/>
      </c:catAx>
      <c:valAx>
        <c:axId val="26501196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lang="ru-RU" sz="1100" b="1" i="0" u="none" strike="noStrike" baseline="0">
                <a:solidFill>
                  <a:srgbClr val="000000"/>
                </a:solidFill>
                <a:latin typeface="Calibri"/>
                <a:ea typeface="Calibri"/>
                <a:cs typeface="Calibri"/>
              </a:defRPr>
            </a:pPr>
            <a:endParaRPr lang="ru-RU"/>
          </a:p>
        </c:txPr>
        <c:crossAx val="265006080"/>
        <c:crosses val="autoZero"/>
        <c:crossBetween val="between"/>
      </c:valAx>
      <c:spPr>
        <a:noFill/>
        <a:ln w="25400">
          <a:noFill/>
        </a:ln>
      </c:spPr>
    </c:plotArea>
    <c:legend>
      <c:legendPos val="r"/>
      <c:layout>
        <c:manualLayout>
          <c:xMode val="edge"/>
          <c:yMode val="edge"/>
          <c:x val="0.81899641577060933"/>
          <c:y val="0.47852760736196476"/>
          <c:w val="0.1738351254480287"/>
          <c:h val="0.17484662576687121"/>
        </c:manualLayout>
      </c:layout>
      <c:overlay val="0"/>
      <c:spPr>
        <a:noFill/>
        <a:ln w="3175">
          <a:solidFill>
            <a:srgbClr val="000000"/>
          </a:solidFill>
          <a:prstDash val="solid"/>
        </a:ln>
      </c:spPr>
      <c:txPr>
        <a:bodyPr/>
        <a:lstStyle/>
        <a:p>
          <a:pPr>
            <a:defRPr lang="ru-RU" sz="110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425"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ru-RU" sz="1200" b="1" i="0" u="none" strike="noStrike" baseline="0">
                <a:solidFill>
                  <a:srgbClr val="000000"/>
                </a:solidFill>
                <a:latin typeface="Calibri"/>
                <a:ea typeface="Calibri"/>
                <a:cs typeface="Calibri"/>
              </a:defRPr>
            </a:pPr>
            <a:r>
              <a:rPr lang="ru-RU" sz="1200"/>
              <a:t>Надзвичайні події</a:t>
            </a:r>
          </a:p>
        </c:rich>
      </c:tx>
      <c:layout>
        <c:manualLayout>
          <c:xMode val="edge"/>
          <c:yMode val="edge"/>
          <c:x val="0.35457516339869466"/>
          <c:y val="1.973684210526316E-2"/>
        </c:manualLayout>
      </c:layout>
      <c:overlay val="0"/>
      <c:spPr>
        <a:noFill/>
        <a:ln w="25440">
          <a:noFill/>
        </a:ln>
      </c:spPr>
    </c:title>
    <c:autoTitleDeleted val="0"/>
    <c:view3D>
      <c:rotX val="15"/>
      <c:hPercent val="4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2287581699346615E-2"/>
          <c:y val="0.2335526315789474"/>
          <c:w val="0.78267973856209405"/>
          <c:h val="0.62828947368421351"/>
        </c:manualLayout>
      </c:layout>
      <c:bar3DChart>
        <c:barDir val="col"/>
        <c:grouping val="clustered"/>
        <c:varyColors val="0"/>
        <c:ser>
          <c:idx val="0"/>
          <c:order val="0"/>
          <c:tx>
            <c:strRef>
              <c:f>Sheet1!$A$2</c:f>
              <c:strCache>
                <c:ptCount val="1"/>
                <c:pt idx="0">
                  <c:v>2012 рік</c:v>
                </c:pt>
              </c:strCache>
            </c:strRef>
          </c:tx>
          <c:spPr>
            <a:solidFill>
              <a:srgbClr val="9999FF"/>
            </a:solidFill>
            <a:ln w="12720">
              <a:solidFill>
                <a:srgbClr val="000000"/>
              </a:solidFill>
              <a:prstDash val="solid"/>
            </a:ln>
          </c:spPr>
          <c:invertIfNegative val="0"/>
          <c:cat>
            <c:strRef>
              <c:f>Sheet1!$B$1:$E$1</c:f>
              <c:strCache>
                <c:ptCount val="3"/>
                <c:pt idx="0">
                  <c:v>пожежі</c:v>
                </c:pt>
                <c:pt idx="1">
                  <c:v>ДТП</c:v>
                </c:pt>
                <c:pt idx="2">
                  <c:v>боєприпас</c:v>
                </c:pt>
              </c:strCache>
            </c:strRef>
          </c:cat>
          <c:val>
            <c:numRef>
              <c:f>Sheet1!$B$2:$E$2</c:f>
              <c:numCache>
                <c:formatCode>General</c:formatCode>
                <c:ptCount val="4"/>
                <c:pt idx="0">
                  <c:v>21</c:v>
                </c:pt>
                <c:pt idx="1">
                  <c:v>12</c:v>
                </c:pt>
                <c:pt idx="2">
                  <c:v>12</c:v>
                </c:pt>
              </c:numCache>
            </c:numRef>
          </c:val>
        </c:ser>
        <c:ser>
          <c:idx val="1"/>
          <c:order val="1"/>
          <c:tx>
            <c:strRef>
              <c:f>Sheet1!$A$3</c:f>
              <c:strCache>
                <c:ptCount val="1"/>
                <c:pt idx="0">
                  <c:v>2013 рік</c:v>
                </c:pt>
              </c:strCache>
            </c:strRef>
          </c:tx>
          <c:spPr>
            <a:solidFill>
              <a:srgbClr val="993366"/>
            </a:solidFill>
            <a:ln w="12720">
              <a:solidFill>
                <a:srgbClr val="000000"/>
              </a:solidFill>
              <a:prstDash val="solid"/>
            </a:ln>
          </c:spPr>
          <c:invertIfNegative val="0"/>
          <c:cat>
            <c:strRef>
              <c:f>Sheet1!$B$1:$E$1</c:f>
              <c:strCache>
                <c:ptCount val="3"/>
                <c:pt idx="0">
                  <c:v>пожежі</c:v>
                </c:pt>
                <c:pt idx="1">
                  <c:v>ДТП</c:v>
                </c:pt>
                <c:pt idx="2">
                  <c:v>боєприпас</c:v>
                </c:pt>
              </c:strCache>
            </c:strRef>
          </c:cat>
          <c:val>
            <c:numRef>
              <c:f>Sheet1!$B$3:$E$3</c:f>
              <c:numCache>
                <c:formatCode>General</c:formatCode>
                <c:ptCount val="4"/>
                <c:pt idx="0">
                  <c:v>35</c:v>
                </c:pt>
                <c:pt idx="1">
                  <c:v>51</c:v>
                </c:pt>
                <c:pt idx="2">
                  <c:v>6</c:v>
                </c:pt>
              </c:numCache>
            </c:numRef>
          </c:val>
        </c:ser>
        <c:dLbls>
          <c:showLegendKey val="0"/>
          <c:showVal val="0"/>
          <c:showCatName val="0"/>
          <c:showSerName val="0"/>
          <c:showPercent val="0"/>
          <c:showBubbleSize val="0"/>
        </c:dLbls>
        <c:gapWidth val="150"/>
        <c:gapDepth val="0"/>
        <c:shape val="box"/>
        <c:axId val="265820032"/>
        <c:axId val="265821568"/>
        <c:axId val="0"/>
      </c:bar3DChart>
      <c:catAx>
        <c:axId val="265820032"/>
        <c:scaling>
          <c:orientation val="minMax"/>
        </c:scaling>
        <c:delete val="0"/>
        <c:axPos val="b"/>
        <c:numFmt formatCode="General" sourceLinked="1"/>
        <c:majorTickMark val="out"/>
        <c:minorTickMark val="none"/>
        <c:tickLblPos val="low"/>
        <c:spPr>
          <a:ln w="3180">
            <a:solidFill>
              <a:srgbClr val="000000"/>
            </a:solidFill>
            <a:prstDash val="solid"/>
          </a:ln>
        </c:spPr>
        <c:txPr>
          <a:bodyPr rot="0" vert="horz"/>
          <a:lstStyle/>
          <a:p>
            <a:pPr>
              <a:defRPr lang="ru-RU" sz="1202" b="1" i="0" u="none" strike="noStrike" baseline="0">
                <a:solidFill>
                  <a:srgbClr val="000000"/>
                </a:solidFill>
                <a:latin typeface="Calibri"/>
                <a:ea typeface="Calibri"/>
                <a:cs typeface="Calibri"/>
              </a:defRPr>
            </a:pPr>
            <a:endParaRPr lang="ru-RU"/>
          </a:p>
        </c:txPr>
        <c:crossAx val="265821568"/>
        <c:crosses val="autoZero"/>
        <c:auto val="1"/>
        <c:lblAlgn val="ctr"/>
        <c:lblOffset val="100"/>
        <c:tickLblSkip val="1"/>
        <c:tickMarkSkip val="1"/>
        <c:noMultiLvlLbl val="0"/>
      </c:catAx>
      <c:valAx>
        <c:axId val="265821568"/>
        <c:scaling>
          <c:orientation val="minMax"/>
        </c:scaling>
        <c:delete val="0"/>
        <c:axPos val="l"/>
        <c:majorGridlines>
          <c:spPr>
            <a:ln w="3180">
              <a:solidFill>
                <a:srgbClr val="000000"/>
              </a:solidFill>
              <a:prstDash val="solid"/>
            </a:ln>
          </c:spPr>
        </c:majorGridlines>
        <c:numFmt formatCode="General" sourceLinked="1"/>
        <c:majorTickMark val="out"/>
        <c:minorTickMark val="none"/>
        <c:tickLblPos val="nextTo"/>
        <c:spPr>
          <a:ln w="3180">
            <a:solidFill>
              <a:srgbClr val="000000"/>
            </a:solidFill>
            <a:prstDash val="solid"/>
          </a:ln>
        </c:spPr>
        <c:txPr>
          <a:bodyPr rot="0" vert="horz"/>
          <a:lstStyle/>
          <a:p>
            <a:pPr>
              <a:defRPr lang="ru-RU" sz="1202" b="1" i="0" u="none" strike="noStrike" baseline="0">
                <a:solidFill>
                  <a:srgbClr val="000000"/>
                </a:solidFill>
                <a:latin typeface="Calibri"/>
                <a:ea typeface="Calibri"/>
                <a:cs typeface="Calibri"/>
              </a:defRPr>
            </a:pPr>
            <a:endParaRPr lang="ru-RU"/>
          </a:p>
        </c:txPr>
        <c:crossAx val="265820032"/>
        <c:crosses val="autoZero"/>
        <c:crossBetween val="between"/>
      </c:valAx>
      <c:spPr>
        <a:noFill/>
        <a:ln w="25440">
          <a:noFill/>
        </a:ln>
      </c:spPr>
    </c:plotArea>
    <c:legend>
      <c:legendPos val="r"/>
      <c:layout>
        <c:manualLayout>
          <c:xMode val="edge"/>
          <c:yMode val="edge"/>
          <c:x val="0.83169934640523124"/>
          <c:y val="0.51644736842105055"/>
          <c:w val="0.15032679738562091"/>
          <c:h val="0.15131578947368421"/>
        </c:manualLayout>
      </c:layout>
      <c:overlay val="0"/>
      <c:spPr>
        <a:noFill/>
        <a:ln w="3180">
          <a:solidFill>
            <a:srgbClr val="000000"/>
          </a:solidFill>
          <a:prstDash val="solid"/>
        </a:ln>
      </c:spPr>
      <c:txPr>
        <a:bodyPr/>
        <a:lstStyle/>
        <a:p>
          <a:pPr>
            <a:defRPr lang="ru-RU" sz="1057"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202"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txPr>
              <a:bodyPr/>
              <a:lstStyle/>
              <a:p>
                <a:pPr>
                  <a:defRPr lang="ru-RU" sz="800" b="1" baseline="0"/>
                </a:pPr>
                <a:endParaRPr lang="ru-RU"/>
              </a:p>
            </c:txPr>
            <c:showLegendKey val="0"/>
            <c:showVal val="1"/>
            <c:showCatName val="0"/>
            <c:showSerName val="0"/>
            <c:showPercent val="0"/>
            <c:showBubbleSize val="0"/>
            <c:showLeaderLines val="0"/>
          </c:dLbls>
          <c:cat>
            <c:strRef>
              <c:f>Лист1!$A$1:$O$1</c:f>
              <c:strCache>
                <c:ptCount val="15"/>
                <c:pt idx="0">
                  <c:v>ТОВ "Урожайна країна</c:v>
                </c:pt>
                <c:pt idx="1">
                  <c:v>ТОВ "Січ-Агро"</c:v>
                </c:pt>
                <c:pt idx="2">
                  <c:v>ТОВ "Птахопродукт"</c:v>
                </c:pt>
                <c:pt idx="3">
                  <c:v>ТОВ "Довіра-2008</c:v>
                </c:pt>
                <c:pt idx="4">
                  <c:v>СТОВ "Дружба-Нова"</c:v>
                </c:pt>
                <c:pt idx="5">
                  <c:v>ТОВ "Агробізнес ТСК"</c:v>
                </c:pt>
                <c:pt idx="6">
                  <c:v>Курмани ТОВ "АГРО-Поліс</c:v>
                </c:pt>
                <c:pt idx="7">
                  <c:v>Всього по району</c:v>
                </c:pt>
                <c:pt idx="8">
                  <c:v>Маршали ТОВ "Агро-Поліс"</c:v>
                </c:pt>
                <c:pt idx="9">
                  <c:v>ТОВ "СК-Агро"</c:v>
                </c:pt>
                <c:pt idx="10">
                  <c:v>ПП "Червонослобідське"</c:v>
                </c:pt>
                <c:pt idx="11">
                  <c:v>ПП "Засулля-5"</c:v>
                </c:pt>
                <c:pt idx="12">
                  <c:v>ТОВ "Лотуре-Агро"</c:v>
                </c:pt>
                <c:pt idx="13">
                  <c:v>ТОВ АФ "Фрунзе"</c:v>
                </c:pt>
                <c:pt idx="14">
                  <c:v>ТОВ АФ "Хоружівка"</c:v>
                </c:pt>
              </c:strCache>
            </c:strRef>
          </c:cat>
          <c:val>
            <c:numRef>
              <c:f>Лист1!$A$2:$O$2</c:f>
              <c:numCache>
                <c:formatCode>General</c:formatCode>
                <c:ptCount val="15"/>
                <c:pt idx="0">
                  <c:v>124</c:v>
                </c:pt>
                <c:pt idx="1">
                  <c:v>98.4</c:v>
                </c:pt>
                <c:pt idx="2">
                  <c:v>82.6</c:v>
                </c:pt>
                <c:pt idx="3">
                  <c:v>78.5</c:v>
                </c:pt>
                <c:pt idx="4">
                  <c:v>70.400000000000006</c:v>
                </c:pt>
                <c:pt idx="5">
                  <c:v>67.3</c:v>
                </c:pt>
                <c:pt idx="6">
                  <c:v>54.6</c:v>
                </c:pt>
                <c:pt idx="7">
                  <c:v>54.3</c:v>
                </c:pt>
                <c:pt idx="8">
                  <c:v>53.6</c:v>
                </c:pt>
                <c:pt idx="9">
                  <c:v>51.9</c:v>
                </c:pt>
                <c:pt idx="10">
                  <c:v>46.7</c:v>
                </c:pt>
                <c:pt idx="11">
                  <c:v>42</c:v>
                </c:pt>
                <c:pt idx="12">
                  <c:v>40.300000000000004</c:v>
                </c:pt>
                <c:pt idx="13">
                  <c:v>35.800000000000004</c:v>
                </c:pt>
                <c:pt idx="14">
                  <c:v>28</c:v>
                </c:pt>
              </c:numCache>
            </c:numRef>
          </c:val>
        </c:ser>
        <c:dLbls>
          <c:showLegendKey val="0"/>
          <c:showVal val="0"/>
          <c:showCatName val="0"/>
          <c:showSerName val="0"/>
          <c:showPercent val="0"/>
          <c:showBubbleSize val="0"/>
        </c:dLbls>
        <c:gapWidth val="150"/>
        <c:axId val="262306432"/>
        <c:axId val="262312320"/>
      </c:barChart>
      <c:catAx>
        <c:axId val="262306432"/>
        <c:scaling>
          <c:orientation val="minMax"/>
        </c:scaling>
        <c:delete val="0"/>
        <c:axPos val="b"/>
        <c:majorTickMark val="out"/>
        <c:minorTickMark val="none"/>
        <c:tickLblPos val="nextTo"/>
        <c:txPr>
          <a:bodyPr/>
          <a:lstStyle/>
          <a:p>
            <a:pPr>
              <a:defRPr lang="ru-RU" b="1"/>
            </a:pPr>
            <a:endParaRPr lang="ru-RU"/>
          </a:p>
        </c:txPr>
        <c:crossAx val="262312320"/>
        <c:crosses val="autoZero"/>
        <c:auto val="1"/>
        <c:lblAlgn val="ctr"/>
        <c:lblOffset val="100"/>
        <c:noMultiLvlLbl val="0"/>
      </c:catAx>
      <c:valAx>
        <c:axId val="262312320"/>
        <c:scaling>
          <c:orientation val="minMax"/>
        </c:scaling>
        <c:delete val="0"/>
        <c:axPos val="l"/>
        <c:majorGridlines/>
        <c:numFmt formatCode="General" sourceLinked="1"/>
        <c:majorTickMark val="out"/>
        <c:minorTickMark val="none"/>
        <c:tickLblPos val="nextTo"/>
        <c:txPr>
          <a:bodyPr/>
          <a:lstStyle/>
          <a:p>
            <a:pPr>
              <a:defRPr lang="ru-RU" b="1"/>
            </a:pPr>
            <a:endParaRPr lang="ru-RU"/>
          </a:p>
        </c:txPr>
        <c:crossAx val="262306432"/>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Надій молока</c:v>
                </c:pt>
              </c:strCache>
            </c:strRef>
          </c:tx>
          <c:invertIfNegative val="0"/>
          <c:dLbls>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Лист1!$A$2:$A$5</c:f>
              <c:strCache>
                <c:ptCount val="3"/>
                <c:pt idx="0">
                  <c:v>2011р</c:v>
                </c:pt>
                <c:pt idx="1">
                  <c:v>2012р</c:v>
                </c:pt>
                <c:pt idx="2">
                  <c:v>2013р</c:v>
                </c:pt>
              </c:strCache>
            </c:strRef>
          </c:cat>
          <c:val>
            <c:numRef>
              <c:f>Лист1!$B$2:$B$5</c:f>
              <c:numCache>
                <c:formatCode>General</c:formatCode>
                <c:ptCount val="4"/>
                <c:pt idx="0">
                  <c:v>4007</c:v>
                </c:pt>
                <c:pt idx="1">
                  <c:v>4621</c:v>
                </c:pt>
                <c:pt idx="2">
                  <c:v>4085</c:v>
                </c:pt>
              </c:numCache>
            </c:numRef>
          </c:val>
        </c:ser>
        <c:ser>
          <c:idx val="1"/>
          <c:order val="1"/>
          <c:tx>
            <c:strRef>
              <c:f>Лист1!$C$1</c:f>
              <c:strCache>
                <c:ptCount val="1"/>
                <c:pt idx="0">
                  <c:v>Поголів"я</c:v>
                </c:pt>
              </c:strCache>
            </c:strRef>
          </c:tx>
          <c:invertIfNegative val="0"/>
          <c:dLbls>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Лист1!$A$2:$A$5</c:f>
              <c:strCache>
                <c:ptCount val="3"/>
                <c:pt idx="0">
                  <c:v>2011р</c:v>
                </c:pt>
                <c:pt idx="1">
                  <c:v>2012р</c:v>
                </c:pt>
                <c:pt idx="2">
                  <c:v>2013р</c:v>
                </c:pt>
              </c:strCache>
            </c:strRef>
          </c:cat>
          <c:val>
            <c:numRef>
              <c:f>Лист1!$C$2:$C$5</c:f>
              <c:numCache>
                <c:formatCode>General</c:formatCode>
                <c:ptCount val="4"/>
                <c:pt idx="0">
                  <c:v>1144</c:v>
                </c:pt>
                <c:pt idx="1">
                  <c:v>1156</c:v>
                </c:pt>
                <c:pt idx="2">
                  <c:v>1040</c:v>
                </c:pt>
              </c:numCache>
            </c:numRef>
          </c:val>
        </c:ser>
        <c:ser>
          <c:idx val="2"/>
          <c:order val="2"/>
          <c:tx>
            <c:strRef>
              <c:f>Лист1!$D$1</c:f>
              <c:strCache>
                <c:ptCount val="1"/>
                <c:pt idx="0">
                  <c:v>Столбец1</c:v>
                </c:pt>
              </c:strCache>
            </c:strRef>
          </c:tx>
          <c:invertIfNegative val="0"/>
          <c:cat>
            <c:strRef>
              <c:f>Лист1!$A$2:$A$5</c:f>
              <c:strCache>
                <c:ptCount val="3"/>
                <c:pt idx="0">
                  <c:v>2011р</c:v>
                </c:pt>
                <c:pt idx="1">
                  <c:v>2012р</c:v>
                </c:pt>
                <c:pt idx="2">
                  <c:v>2013р</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box"/>
        <c:axId val="262465792"/>
        <c:axId val="263008256"/>
        <c:axId val="0"/>
      </c:bar3DChart>
      <c:catAx>
        <c:axId val="262465792"/>
        <c:scaling>
          <c:orientation val="minMax"/>
        </c:scaling>
        <c:delete val="0"/>
        <c:axPos val="b"/>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63008256"/>
        <c:crosses val="autoZero"/>
        <c:auto val="1"/>
        <c:lblAlgn val="ctr"/>
        <c:lblOffset val="100"/>
        <c:noMultiLvlLbl val="0"/>
      </c:catAx>
      <c:valAx>
        <c:axId val="263008256"/>
        <c:scaling>
          <c:orientation val="minMax"/>
        </c:scaling>
        <c:delete val="0"/>
        <c:axPos val="l"/>
        <c:majorGridlines/>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62465792"/>
        <c:crosses val="autoZero"/>
        <c:crossBetween val="between"/>
      </c:valAx>
      <c:spPr>
        <a:noFill/>
        <a:ln w="25400">
          <a:noFill/>
        </a:ln>
      </c:spPr>
    </c:plotArea>
    <c:legend>
      <c:legendPos val="r"/>
      <c:legendEntry>
        <c:idx val="2"/>
        <c:delete val="1"/>
      </c:legendEntry>
      <c:overlay val="0"/>
      <c:txPr>
        <a:bodyPr/>
        <a:lstStyle/>
        <a:p>
          <a:pPr>
            <a:defRPr lang="ru-RU" sz="920" b="1" i="0" u="none" strike="noStrike" baseline="0">
              <a:solidFill>
                <a:srgbClr val="000000"/>
              </a:solidFill>
              <a:latin typeface="Calibri"/>
              <a:ea typeface="Calibri"/>
              <a:cs typeface="Calibri"/>
            </a:defRPr>
          </a:pPr>
          <a:endParaRPr lang="ru-RU"/>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Столбец3</c:v>
                </c:pt>
              </c:strCache>
            </c:strRef>
          </c:tx>
          <c:invertIfNegative val="0"/>
          <c:dLbls>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Лист1!$A$2:$A$5</c:f>
              <c:strCache>
                <c:ptCount val="3"/>
                <c:pt idx="0">
                  <c:v>2011р</c:v>
                </c:pt>
                <c:pt idx="1">
                  <c:v>2012р</c:v>
                </c:pt>
                <c:pt idx="2">
                  <c:v>2013р</c:v>
                </c:pt>
              </c:strCache>
            </c:strRef>
          </c:cat>
          <c:val>
            <c:numRef>
              <c:f>Лист1!$B$2:$B$5</c:f>
              <c:numCache>
                <c:formatCode>General</c:formatCode>
                <c:ptCount val="4"/>
                <c:pt idx="0">
                  <c:v>10515</c:v>
                </c:pt>
                <c:pt idx="1">
                  <c:v>11925</c:v>
                </c:pt>
                <c:pt idx="2">
                  <c:v>12118</c:v>
                </c:pt>
              </c:numCache>
            </c:numRef>
          </c:val>
        </c:ser>
        <c:ser>
          <c:idx val="1"/>
          <c:order val="1"/>
          <c:tx>
            <c:strRef>
              <c:f>Лист1!$C$1</c:f>
              <c:strCache>
                <c:ptCount val="1"/>
                <c:pt idx="0">
                  <c:v>Столбец1</c:v>
                </c:pt>
              </c:strCache>
            </c:strRef>
          </c:tx>
          <c:invertIfNegative val="0"/>
          <c:cat>
            <c:strRef>
              <c:f>Лист1!$A$2:$A$5</c:f>
              <c:strCache>
                <c:ptCount val="3"/>
                <c:pt idx="0">
                  <c:v>2011р</c:v>
                </c:pt>
                <c:pt idx="1">
                  <c:v>2012р</c:v>
                </c:pt>
                <c:pt idx="2">
                  <c:v>2013р</c:v>
                </c:pt>
              </c:strCache>
            </c:strRef>
          </c:cat>
          <c:val>
            <c:numRef>
              <c:f>Лист1!$C$2:$C$5</c:f>
              <c:numCache>
                <c:formatCode>General</c:formatCode>
                <c:ptCount val="4"/>
              </c:numCache>
            </c:numRef>
          </c:val>
        </c:ser>
        <c:ser>
          <c:idx val="2"/>
          <c:order val="2"/>
          <c:tx>
            <c:strRef>
              <c:f>Лист1!$D$1</c:f>
              <c:strCache>
                <c:ptCount val="1"/>
                <c:pt idx="0">
                  <c:v>Столбец2</c:v>
                </c:pt>
              </c:strCache>
            </c:strRef>
          </c:tx>
          <c:invertIfNegative val="0"/>
          <c:cat>
            <c:strRef>
              <c:f>Лист1!$A$2:$A$5</c:f>
              <c:strCache>
                <c:ptCount val="3"/>
                <c:pt idx="0">
                  <c:v>2011р</c:v>
                </c:pt>
                <c:pt idx="1">
                  <c:v>2012р</c:v>
                </c:pt>
                <c:pt idx="2">
                  <c:v>2013р</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box"/>
        <c:axId val="263059712"/>
        <c:axId val="263090176"/>
        <c:axId val="262452544"/>
      </c:bar3DChart>
      <c:catAx>
        <c:axId val="263059712"/>
        <c:scaling>
          <c:orientation val="minMax"/>
        </c:scaling>
        <c:delete val="0"/>
        <c:axPos val="b"/>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63090176"/>
        <c:crosses val="autoZero"/>
        <c:auto val="1"/>
        <c:lblAlgn val="ctr"/>
        <c:lblOffset val="100"/>
        <c:noMultiLvlLbl val="0"/>
      </c:catAx>
      <c:valAx>
        <c:axId val="263090176"/>
        <c:scaling>
          <c:orientation val="minMax"/>
        </c:scaling>
        <c:delete val="0"/>
        <c:axPos val="l"/>
        <c:majorGridlines/>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63059712"/>
        <c:crosses val="autoZero"/>
        <c:crossBetween val="between"/>
      </c:valAx>
      <c:serAx>
        <c:axId val="262452544"/>
        <c:scaling>
          <c:orientation val="minMax"/>
        </c:scaling>
        <c:delete val="1"/>
        <c:axPos val="b"/>
        <c:majorTickMark val="out"/>
        <c:minorTickMark val="none"/>
        <c:tickLblPos val="none"/>
        <c:crossAx val="263090176"/>
        <c:crosses val="autoZero"/>
      </c:serAx>
      <c:spPr>
        <a:noFill/>
        <a:ln w="25399">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Столбец1</c:v>
                </c:pt>
              </c:strCache>
            </c:strRef>
          </c:tx>
          <c:invertIfNegative val="0"/>
          <c:cat>
            <c:strRef>
              <c:f>Лист1!$A$2:$A$5</c:f>
              <c:strCache>
                <c:ptCount val="3"/>
                <c:pt idx="0">
                  <c:v>2011р</c:v>
                </c:pt>
                <c:pt idx="1">
                  <c:v>2012р</c:v>
                </c:pt>
                <c:pt idx="2">
                  <c:v>2013р</c:v>
                </c:pt>
              </c:strCache>
            </c:strRef>
          </c:cat>
          <c:val>
            <c:numRef>
              <c:f>Лист1!$B$2:$B$5</c:f>
              <c:numCache>
                <c:formatCode>General</c:formatCode>
                <c:ptCount val="4"/>
              </c:numCache>
            </c:numRef>
          </c:val>
        </c:ser>
        <c:ser>
          <c:idx val="1"/>
          <c:order val="1"/>
          <c:tx>
            <c:strRef>
              <c:f>Лист1!$C$1</c:f>
              <c:strCache>
                <c:ptCount val="1"/>
                <c:pt idx="0">
                  <c:v>Столбец2</c:v>
                </c:pt>
              </c:strCache>
            </c:strRef>
          </c:tx>
          <c:invertIfNegative val="0"/>
          <c:cat>
            <c:strRef>
              <c:f>Лист1!$A$2:$A$5</c:f>
              <c:strCache>
                <c:ptCount val="3"/>
                <c:pt idx="0">
                  <c:v>2011р</c:v>
                </c:pt>
                <c:pt idx="1">
                  <c:v>2012р</c:v>
                </c:pt>
                <c:pt idx="2">
                  <c:v>2013р</c:v>
                </c:pt>
              </c:strCache>
            </c:strRef>
          </c:cat>
          <c:val>
            <c:numRef>
              <c:f>Лист1!$C$2:$C$5</c:f>
              <c:numCache>
                <c:formatCode>General</c:formatCode>
                <c:ptCount val="4"/>
              </c:numCache>
            </c:numRef>
          </c:val>
        </c:ser>
        <c:ser>
          <c:idx val="2"/>
          <c:order val="2"/>
          <c:tx>
            <c:strRef>
              <c:f>Лист1!$D$1</c:f>
              <c:strCache>
                <c:ptCount val="1"/>
                <c:pt idx="0">
                  <c:v>Ряд 3</c:v>
                </c:pt>
              </c:strCache>
            </c:strRef>
          </c:tx>
          <c:invertIfNegative val="0"/>
          <c:dLbls>
            <c:txPr>
              <a:bodyPr/>
              <a:lstStyle/>
              <a:p>
                <a:pPr>
                  <a:defRPr lang="ru-RU"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Лист1!$A$2:$A$5</c:f>
              <c:strCache>
                <c:ptCount val="3"/>
                <c:pt idx="0">
                  <c:v>2011р</c:v>
                </c:pt>
                <c:pt idx="1">
                  <c:v>2012р</c:v>
                </c:pt>
                <c:pt idx="2">
                  <c:v>2013р</c:v>
                </c:pt>
              </c:strCache>
            </c:strRef>
          </c:cat>
          <c:val>
            <c:numRef>
              <c:f>Лист1!$D$2:$D$5</c:f>
              <c:numCache>
                <c:formatCode>General</c:formatCode>
                <c:ptCount val="4"/>
                <c:pt idx="0">
                  <c:v>2701</c:v>
                </c:pt>
                <c:pt idx="1">
                  <c:v>2954</c:v>
                </c:pt>
                <c:pt idx="2">
                  <c:v>2252</c:v>
                </c:pt>
              </c:numCache>
            </c:numRef>
          </c:val>
        </c:ser>
        <c:dLbls>
          <c:showLegendKey val="0"/>
          <c:showVal val="0"/>
          <c:showCatName val="0"/>
          <c:showSerName val="0"/>
          <c:showPercent val="0"/>
          <c:showBubbleSize val="0"/>
        </c:dLbls>
        <c:gapWidth val="150"/>
        <c:shape val="box"/>
        <c:axId val="262326912"/>
        <c:axId val="262328704"/>
        <c:axId val="0"/>
      </c:bar3DChart>
      <c:catAx>
        <c:axId val="262326912"/>
        <c:scaling>
          <c:orientation val="minMax"/>
        </c:scaling>
        <c:delete val="0"/>
        <c:axPos val="b"/>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62328704"/>
        <c:crosses val="autoZero"/>
        <c:auto val="1"/>
        <c:lblAlgn val="ctr"/>
        <c:lblOffset val="100"/>
        <c:noMultiLvlLbl val="0"/>
      </c:catAx>
      <c:valAx>
        <c:axId val="262328704"/>
        <c:scaling>
          <c:orientation val="minMax"/>
        </c:scaling>
        <c:delete val="0"/>
        <c:axPos val="l"/>
        <c:majorGridlines/>
        <c:numFmt formatCode="General" sourceLinked="1"/>
        <c:majorTickMark val="out"/>
        <c:minorTickMark val="none"/>
        <c:tickLblPos val="nextTo"/>
        <c:txPr>
          <a:bodyPr rot="0" vert="horz"/>
          <a:lstStyle/>
          <a:p>
            <a:pPr>
              <a:defRPr lang="ru-RU" sz="1000" b="1" i="0" u="none" strike="noStrike" baseline="0">
                <a:solidFill>
                  <a:srgbClr val="000000"/>
                </a:solidFill>
                <a:latin typeface="Calibri"/>
                <a:ea typeface="Calibri"/>
                <a:cs typeface="Calibri"/>
              </a:defRPr>
            </a:pPr>
            <a:endParaRPr lang="ru-RU"/>
          </a:p>
        </c:txPr>
        <c:crossAx val="262326912"/>
        <c:crosses val="autoZero"/>
        <c:crossBetween val="between"/>
      </c:valAx>
      <c:spPr>
        <a:noFill/>
        <a:ln w="25393">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lang="ru-RU" sz="1200"/>
          </a:pPr>
          <a:endParaRPr lang="ru-RU"/>
        </a:p>
      </c:txPr>
    </c:title>
    <c:autoTitleDeleted val="0"/>
    <c:plotArea>
      <c:layout/>
      <c:barChart>
        <c:barDir val="col"/>
        <c:grouping val="clustered"/>
        <c:varyColors val="0"/>
        <c:ser>
          <c:idx val="0"/>
          <c:order val="0"/>
          <c:tx>
            <c:strRef>
              <c:f>Лист1!$B$1</c:f>
              <c:strCache>
                <c:ptCount val="1"/>
                <c:pt idx="0">
                  <c:v>Капітальні інвестиції, млн.грн</c:v>
                </c:pt>
              </c:strCache>
            </c:strRef>
          </c:tx>
          <c:invertIfNegative val="0"/>
          <c:dLbls>
            <c:dLbl>
              <c:idx val="0"/>
              <c:layout>
                <c:manualLayout>
                  <c:x val="-1.3888888888889003E-2"/>
                  <c:y val="0.1388888888888889"/>
                </c:manualLayout>
              </c:layout>
              <c:showLegendKey val="0"/>
              <c:showVal val="1"/>
              <c:showCatName val="0"/>
              <c:showSerName val="0"/>
              <c:showPercent val="0"/>
              <c:showBubbleSize val="0"/>
            </c:dLbl>
            <c:dLbl>
              <c:idx val="1"/>
              <c:layout>
                <c:manualLayout>
                  <c:x val="4.6296296296296571E-3"/>
                  <c:y val="0.12301587301587302"/>
                </c:manualLayout>
              </c:layout>
              <c:showLegendKey val="0"/>
              <c:showVal val="1"/>
              <c:showCatName val="0"/>
              <c:showSerName val="0"/>
              <c:showPercent val="0"/>
              <c:showBubbleSize val="0"/>
            </c:dLbl>
            <c:dLbl>
              <c:idx val="2"/>
              <c:layout>
                <c:manualLayout>
                  <c:x val="0"/>
                  <c:y val="0.10714285714285707"/>
                </c:manualLayout>
              </c:layout>
              <c:showLegendKey val="0"/>
              <c:showVal val="1"/>
              <c:showCatName val="0"/>
              <c:showSerName val="0"/>
              <c:showPercent val="0"/>
              <c:showBubbleSize val="0"/>
            </c:dLbl>
            <c:showLegendKey val="0"/>
            <c:showVal val="0"/>
            <c:showCatName val="0"/>
            <c:showSerName val="0"/>
            <c:showPercent val="0"/>
            <c:showBubbleSize val="0"/>
          </c:dLbls>
          <c:cat>
            <c:strRef>
              <c:f>Лист1!$A$2:$A$4</c:f>
              <c:strCache>
                <c:ptCount val="3"/>
                <c:pt idx="0">
                  <c:v>2011 рік</c:v>
                </c:pt>
                <c:pt idx="1">
                  <c:v>2012 рік</c:v>
                </c:pt>
                <c:pt idx="2">
                  <c:v>9 міс 2013 року</c:v>
                </c:pt>
              </c:strCache>
            </c:strRef>
          </c:cat>
          <c:val>
            <c:numRef>
              <c:f>Лист1!$B$2:$B$4</c:f>
              <c:numCache>
                <c:formatCode>General</c:formatCode>
                <c:ptCount val="3"/>
                <c:pt idx="0">
                  <c:v>32.9</c:v>
                </c:pt>
                <c:pt idx="1">
                  <c:v>49.7</c:v>
                </c:pt>
                <c:pt idx="2">
                  <c:v>23.04</c:v>
                </c:pt>
              </c:numCache>
            </c:numRef>
          </c:val>
        </c:ser>
        <c:dLbls>
          <c:showLegendKey val="0"/>
          <c:showVal val="0"/>
          <c:showCatName val="0"/>
          <c:showSerName val="0"/>
          <c:showPercent val="0"/>
          <c:showBubbleSize val="0"/>
        </c:dLbls>
        <c:gapWidth val="150"/>
        <c:axId val="263459200"/>
        <c:axId val="263460736"/>
      </c:barChart>
      <c:catAx>
        <c:axId val="263459200"/>
        <c:scaling>
          <c:orientation val="minMax"/>
        </c:scaling>
        <c:delete val="0"/>
        <c:axPos val="b"/>
        <c:majorTickMark val="out"/>
        <c:minorTickMark val="none"/>
        <c:tickLblPos val="nextTo"/>
        <c:txPr>
          <a:bodyPr/>
          <a:lstStyle/>
          <a:p>
            <a:pPr>
              <a:defRPr lang="ru-RU" b="1"/>
            </a:pPr>
            <a:endParaRPr lang="ru-RU"/>
          </a:p>
        </c:txPr>
        <c:crossAx val="263460736"/>
        <c:crosses val="autoZero"/>
        <c:auto val="1"/>
        <c:lblAlgn val="ctr"/>
        <c:lblOffset val="100"/>
        <c:noMultiLvlLbl val="0"/>
      </c:catAx>
      <c:valAx>
        <c:axId val="263460736"/>
        <c:scaling>
          <c:orientation val="minMax"/>
        </c:scaling>
        <c:delete val="0"/>
        <c:axPos val="l"/>
        <c:majorGridlines/>
        <c:numFmt formatCode="General" sourceLinked="1"/>
        <c:majorTickMark val="out"/>
        <c:minorTickMark val="none"/>
        <c:tickLblPos val="nextTo"/>
        <c:txPr>
          <a:bodyPr/>
          <a:lstStyle/>
          <a:p>
            <a:pPr>
              <a:defRPr lang="ru-RU" b="1"/>
            </a:pPr>
            <a:endParaRPr lang="ru-RU"/>
          </a:p>
        </c:txPr>
        <c:crossAx val="263459200"/>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561639271934983E-2"/>
          <c:y val="9.2518583325232565E-2"/>
          <c:w val="0.90528112802366256"/>
          <c:h val="0.76036758368166946"/>
        </c:manualLayout>
      </c:layout>
      <c:barChart>
        <c:barDir val="col"/>
        <c:grouping val="clustered"/>
        <c:varyColors val="0"/>
        <c:ser>
          <c:idx val="0"/>
          <c:order val="0"/>
          <c:tx>
            <c:strRef>
              <c:f>Лист1!$B$1</c:f>
              <c:strCache>
                <c:ptCount val="1"/>
                <c:pt idx="0">
                  <c:v>Ряд 1</c:v>
                </c:pt>
              </c:strCache>
            </c:strRef>
          </c:tx>
          <c:invertIfNegative val="0"/>
          <c:dPt>
            <c:idx val="0"/>
            <c:invertIfNegative val="0"/>
            <c:bubble3D val="0"/>
            <c:spPr>
              <a:scene3d>
                <a:camera prst="orthographicFront"/>
                <a:lightRig rig="threePt" dir="t"/>
              </a:scene3d>
              <a:sp3d>
                <a:bevelB w="44450"/>
              </a:sp3d>
            </c:spPr>
          </c:dPt>
          <c:dLbls>
            <c:dLbl>
              <c:idx val="0"/>
              <c:dLblPos val="outEnd"/>
              <c:showLegendKey val="0"/>
              <c:showVal val="1"/>
              <c:showCatName val="0"/>
              <c:showSerName val="0"/>
              <c:showPercent val="0"/>
              <c:showBubbleSize val="0"/>
            </c:dLbl>
            <c:txPr>
              <a:bodyPr/>
              <a:lstStyle/>
              <a:p>
                <a:pPr>
                  <a:defRPr lang="ru-RU" sz="1000" b="1" i="0" baseline="0"/>
                </a:pPr>
                <a:endParaRPr lang="ru-RU"/>
              </a:p>
            </c:txPr>
            <c:showLegendKey val="0"/>
            <c:showVal val="1"/>
            <c:showCatName val="0"/>
            <c:showSerName val="0"/>
            <c:showPercent val="0"/>
            <c:showBubbleSize val="0"/>
            <c:showLeaderLines val="0"/>
          </c:dLbls>
          <c:cat>
            <c:strRef>
              <c:f>Лист1!$A$2:$A$5</c:f>
              <c:strCache>
                <c:ptCount val="4"/>
                <c:pt idx="0">
                  <c:v>2011 рік</c:v>
                </c:pt>
                <c:pt idx="1">
                  <c:v>2012 рік</c:v>
                </c:pt>
                <c:pt idx="2">
                  <c:v>2013 рік</c:v>
                </c:pt>
                <c:pt idx="3">
                  <c:v>2014 рік очікуване </c:v>
                </c:pt>
              </c:strCache>
            </c:strRef>
          </c:cat>
          <c:val>
            <c:numRef>
              <c:f>Лист1!$B$2:$B$5</c:f>
              <c:numCache>
                <c:formatCode>General</c:formatCode>
                <c:ptCount val="4"/>
                <c:pt idx="0">
                  <c:v>34.4</c:v>
                </c:pt>
                <c:pt idx="1">
                  <c:v>32.800000000000004</c:v>
                </c:pt>
                <c:pt idx="2">
                  <c:v>37.4</c:v>
                </c:pt>
                <c:pt idx="3">
                  <c:v>42.2</c:v>
                </c:pt>
              </c:numCache>
            </c:numRef>
          </c:val>
        </c:ser>
        <c:dLbls>
          <c:showLegendKey val="0"/>
          <c:showVal val="0"/>
          <c:showCatName val="0"/>
          <c:showSerName val="0"/>
          <c:showPercent val="0"/>
          <c:showBubbleSize val="0"/>
        </c:dLbls>
        <c:gapWidth val="150"/>
        <c:axId val="262420736"/>
        <c:axId val="263499776"/>
      </c:barChart>
      <c:catAx>
        <c:axId val="262420736"/>
        <c:scaling>
          <c:orientation val="minMax"/>
        </c:scaling>
        <c:delete val="0"/>
        <c:axPos val="b"/>
        <c:majorTickMark val="out"/>
        <c:minorTickMark val="none"/>
        <c:tickLblPos val="nextTo"/>
        <c:txPr>
          <a:bodyPr/>
          <a:lstStyle/>
          <a:p>
            <a:pPr>
              <a:defRPr lang="ru-RU" sz="1000" b="1" i="0" baseline="0"/>
            </a:pPr>
            <a:endParaRPr lang="ru-RU"/>
          </a:p>
        </c:txPr>
        <c:crossAx val="263499776"/>
        <c:crosses val="autoZero"/>
        <c:auto val="1"/>
        <c:lblAlgn val="ctr"/>
        <c:lblOffset val="100"/>
        <c:noMultiLvlLbl val="0"/>
      </c:catAx>
      <c:valAx>
        <c:axId val="263499776"/>
        <c:scaling>
          <c:orientation val="minMax"/>
          <c:max val="50"/>
          <c:min val="0"/>
        </c:scaling>
        <c:delete val="0"/>
        <c:axPos val="l"/>
        <c:majorGridlines/>
        <c:numFmt formatCode="General" sourceLinked="0"/>
        <c:majorTickMark val="out"/>
        <c:minorTickMark val="none"/>
        <c:tickLblPos val="nextTo"/>
        <c:txPr>
          <a:bodyPr/>
          <a:lstStyle/>
          <a:p>
            <a:pPr>
              <a:defRPr lang="ru-RU" sz="1000" b="1" baseline="0"/>
            </a:pPr>
            <a:endParaRPr lang="ru-RU"/>
          </a:p>
        </c:txPr>
        <c:crossAx val="262420736"/>
        <c:crosses val="autoZero"/>
        <c:crossBetween val="between"/>
        <c:majorUnit val="10"/>
        <c:minorUnit val="10"/>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8.2305154564012828E-2"/>
          <c:y val="4.8025871766029245E-2"/>
          <c:w val="0.88065780839895014"/>
          <c:h val="0.61994313210849405"/>
        </c:manualLayout>
      </c:layout>
      <c:bar3DChart>
        <c:barDir val="col"/>
        <c:grouping val="clustered"/>
        <c:varyColors val="0"/>
        <c:ser>
          <c:idx val="0"/>
          <c:order val="0"/>
          <c:tx>
            <c:strRef>
              <c:f>Лист1!$B$1</c:f>
              <c:strCache>
                <c:ptCount val="1"/>
                <c:pt idx="0">
                  <c:v>2011 рік</c:v>
                </c:pt>
              </c:strCache>
            </c:strRef>
          </c:tx>
          <c:invertIfNegative val="0"/>
          <c:dLbls>
            <c:dLbl>
              <c:idx val="0"/>
              <c:layout>
                <c:manualLayout>
                  <c:x val="6.9444444444444822E-3"/>
                  <c:y val="0.14285714285714401"/>
                </c:manualLayout>
              </c:layout>
              <c:showLegendKey val="0"/>
              <c:showVal val="1"/>
              <c:showCatName val="0"/>
              <c:showSerName val="0"/>
              <c:showPercent val="0"/>
              <c:showBubbleSize val="0"/>
            </c:dLbl>
            <c:txPr>
              <a:bodyPr/>
              <a:lstStyle/>
              <a:p>
                <a:pPr>
                  <a:defRPr lang="ru-RU" sz="1200" b="1" i="0" baseline="0"/>
                </a:pPr>
                <a:endParaRPr lang="ru-RU"/>
              </a:p>
            </c:txPr>
            <c:showLegendKey val="0"/>
            <c:showVal val="1"/>
            <c:showCatName val="0"/>
            <c:showSerName val="0"/>
            <c:showPercent val="0"/>
            <c:showBubbleSize val="0"/>
            <c:showLeaderLines val="0"/>
          </c:dLbls>
          <c:cat>
            <c:strRef>
              <c:f>Лист1!$A$2</c:f>
              <c:strCache>
                <c:ptCount val="1"/>
                <c:pt idx="0">
                  <c:v>Внесок малого бізнесу до податкових надходжень району, тис.грн</c:v>
                </c:pt>
              </c:strCache>
            </c:strRef>
          </c:cat>
          <c:val>
            <c:numRef>
              <c:f>Лист1!$B$2</c:f>
              <c:numCache>
                <c:formatCode>General</c:formatCode>
                <c:ptCount val="1"/>
                <c:pt idx="0">
                  <c:v>640.5</c:v>
                </c:pt>
              </c:numCache>
            </c:numRef>
          </c:val>
        </c:ser>
        <c:ser>
          <c:idx val="1"/>
          <c:order val="1"/>
          <c:tx>
            <c:strRef>
              <c:f>Лист1!$C$1</c:f>
              <c:strCache>
                <c:ptCount val="1"/>
                <c:pt idx="0">
                  <c:v>2012 рік</c:v>
                </c:pt>
              </c:strCache>
            </c:strRef>
          </c:tx>
          <c:invertIfNegative val="0"/>
          <c:dLbls>
            <c:dLbl>
              <c:idx val="0"/>
              <c:layout>
                <c:manualLayout>
                  <c:x val="-4.2437781360067751E-17"/>
                  <c:y val="0.13492063492063486"/>
                </c:manualLayout>
              </c:layout>
              <c:showLegendKey val="0"/>
              <c:showVal val="1"/>
              <c:showCatName val="0"/>
              <c:showSerName val="0"/>
              <c:showPercent val="0"/>
              <c:showBubbleSize val="0"/>
            </c:dLbl>
            <c:txPr>
              <a:bodyPr/>
              <a:lstStyle/>
              <a:p>
                <a:pPr>
                  <a:defRPr lang="ru-RU" sz="1200" b="1" i="0" baseline="0"/>
                </a:pPr>
                <a:endParaRPr lang="ru-RU"/>
              </a:p>
            </c:txPr>
            <c:showLegendKey val="0"/>
            <c:showVal val="1"/>
            <c:showCatName val="0"/>
            <c:showSerName val="0"/>
            <c:showPercent val="0"/>
            <c:showBubbleSize val="0"/>
            <c:showLeaderLines val="0"/>
          </c:dLbls>
          <c:cat>
            <c:strRef>
              <c:f>Лист1!$A$2</c:f>
              <c:strCache>
                <c:ptCount val="1"/>
                <c:pt idx="0">
                  <c:v>Внесок малого бізнесу до податкових надходжень району, тис.грн</c:v>
                </c:pt>
              </c:strCache>
            </c:strRef>
          </c:cat>
          <c:val>
            <c:numRef>
              <c:f>Лист1!$C$2</c:f>
              <c:numCache>
                <c:formatCode>General</c:formatCode>
                <c:ptCount val="1"/>
                <c:pt idx="0">
                  <c:v>790.8</c:v>
                </c:pt>
              </c:numCache>
            </c:numRef>
          </c:val>
        </c:ser>
        <c:ser>
          <c:idx val="2"/>
          <c:order val="2"/>
          <c:tx>
            <c:strRef>
              <c:f>Лист1!$D$1</c:f>
              <c:strCache>
                <c:ptCount val="1"/>
                <c:pt idx="0">
                  <c:v>2013 рік</c:v>
                </c:pt>
              </c:strCache>
            </c:strRef>
          </c:tx>
          <c:invertIfNegative val="0"/>
          <c:dLbls>
            <c:dLbl>
              <c:idx val="0"/>
              <c:layout>
                <c:manualLayout>
                  <c:x val="-4.6296296296296606E-3"/>
                  <c:y val="0.12698412698412698"/>
                </c:manualLayout>
              </c:layout>
              <c:showLegendKey val="0"/>
              <c:showVal val="1"/>
              <c:showCatName val="0"/>
              <c:showSerName val="0"/>
              <c:showPercent val="0"/>
              <c:showBubbleSize val="0"/>
            </c:dLbl>
            <c:txPr>
              <a:bodyPr/>
              <a:lstStyle/>
              <a:p>
                <a:pPr>
                  <a:defRPr lang="ru-RU" sz="1200" b="1" i="0" baseline="0"/>
                </a:pPr>
                <a:endParaRPr lang="ru-RU"/>
              </a:p>
            </c:txPr>
            <c:showLegendKey val="0"/>
            <c:showVal val="1"/>
            <c:showCatName val="0"/>
            <c:showSerName val="0"/>
            <c:showPercent val="0"/>
            <c:showBubbleSize val="0"/>
            <c:showLeaderLines val="0"/>
          </c:dLbls>
          <c:cat>
            <c:strRef>
              <c:f>Лист1!$A$2</c:f>
              <c:strCache>
                <c:ptCount val="1"/>
                <c:pt idx="0">
                  <c:v>Внесок малого бізнесу до податкових надходжень району, тис.грн</c:v>
                </c:pt>
              </c:strCache>
            </c:strRef>
          </c:cat>
          <c:val>
            <c:numRef>
              <c:f>Лист1!$D$2</c:f>
              <c:numCache>
                <c:formatCode>General</c:formatCode>
                <c:ptCount val="1"/>
                <c:pt idx="0">
                  <c:v>1723.6</c:v>
                </c:pt>
              </c:numCache>
            </c:numRef>
          </c:val>
        </c:ser>
        <c:ser>
          <c:idx val="3"/>
          <c:order val="3"/>
          <c:tx>
            <c:strRef>
              <c:f>Лист1!$E$1</c:f>
              <c:strCache>
                <c:ptCount val="1"/>
                <c:pt idx="0">
                  <c:v>2014 рік очікуване</c:v>
                </c:pt>
              </c:strCache>
            </c:strRef>
          </c:tx>
          <c:invertIfNegative val="0"/>
          <c:dLbls>
            <c:dLbl>
              <c:idx val="0"/>
              <c:layout>
                <c:manualLayout>
                  <c:x val="-6.9444444444444753E-3"/>
                  <c:y val="0.1388888888888889"/>
                </c:manualLayout>
              </c:layout>
              <c:showLegendKey val="0"/>
              <c:showVal val="1"/>
              <c:showCatName val="0"/>
              <c:showSerName val="0"/>
              <c:showPercent val="0"/>
              <c:showBubbleSize val="0"/>
            </c:dLbl>
            <c:txPr>
              <a:bodyPr/>
              <a:lstStyle/>
              <a:p>
                <a:pPr>
                  <a:defRPr lang="ru-RU" sz="1200" b="1"/>
                </a:pPr>
                <a:endParaRPr lang="ru-RU"/>
              </a:p>
            </c:txPr>
            <c:showLegendKey val="0"/>
            <c:showVal val="1"/>
            <c:showCatName val="0"/>
            <c:showSerName val="0"/>
            <c:showPercent val="0"/>
            <c:showBubbleSize val="0"/>
            <c:showLeaderLines val="0"/>
          </c:dLbls>
          <c:cat>
            <c:strRef>
              <c:f>Лист1!$A$2</c:f>
              <c:strCache>
                <c:ptCount val="1"/>
                <c:pt idx="0">
                  <c:v>Внесок малого бізнесу до податкових надходжень району, тис.грн</c:v>
                </c:pt>
              </c:strCache>
            </c:strRef>
          </c:cat>
          <c:val>
            <c:numRef>
              <c:f>Лист1!$E$2</c:f>
              <c:numCache>
                <c:formatCode>General</c:formatCode>
                <c:ptCount val="1"/>
                <c:pt idx="0">
                  <c:v>1810</c:v>
                </c:pt>
              </c:numCache>
            </c:numRef>
          </c:val>
        </c:ser>
        <c:dLbls>
          <c:showLegendKey val="0"/>
          <c:showVal val="0"/>
          <c:showCatName val="0"/>
          <c:showSerName val="0"/>
          <c:showPercent val="0"/>
          <c:showBubbleSize val="0"/>
        </c:dLbls>
        <c:gapWidth val="150"/>
        <c:shape val="box"/>
        <c:axId val="263835008"/>
        <c:axId val="263931008"/>
        <c:axId val="0"/>
      </c:bar3DChart>
      <c:catAx>
        <c:axId val="263835008"/>
        <c:scaling>
          <c:orientation val="minMax"/>
        </c:scaling>
        <c:delete val="0"/>
        <c:axPos val="b"/>
        <c:majorTickMark val="out"/>
        <c:minorTickMark val="none"/>
        <c:tickLblPos val="nextTo"/>
        <c:txPr>
          <a:bodyPr/>
          <a:lstStyle/>
          <a:p>
            <a:pPr>
              <a:defRPr lang="ru-RU" sz="1400" b="1" i="0" baseline="0"/>
            </a:pPr>
            <a:endParaRPr lang="ru-RU"/>
          </a:p>
        </c:txPr>
        <c:crossAx val="263931008"/>
        <c:crosses val="autoZero"/>
        <c:auto val="1"/>
        <c:lblAlgn val="ctr"/>
        <c:lblOffset val="100"/>
        <c:noMultiLvlLbl val="0"/>
      </c:catAx>
      <c:valAx>
        <c:axId val="263931008"/>
        <c:scaling>
          <c:orientation val="minMax"/>
        </c:scaling>
        <c:delete val="0"/>
        <c:axPos val="l"/>
        <c:majorGridlines/>
        <c:numFmt formatCode="General" sourceLinked="1"/>
        <c:majorTickMark val="out"/>
        <c:minorTickMark val="none"/>
        <c:tickLblPos val="nextTo"/>
        <c:txPr>
          <a:bodyPr/>
          <a:lstStyle/>
          <a:p>
            <a:pPr>
              <a:defRPr lang="ru-RU" b="1"/>
            </a:pPr>
            <a:endParaRPr lang="ru-RU"/>
          </a:p>
        </c:txPr>
        <c:crossAx val="263835008"/>
        <c:crosses val="autoZero"/>
        <c:crossBetween val="between"/>
      </c:valAx>
    </c:plotArea>
    <c:legend>
      <c:legendPos val="b"/>
      <c:overlay val="0"/>
      <c:txPr>
        <a:bodyPr/>
        <a:lstStyle/>
        <a:p>
          <a:pPr>
            <a:defRPr lang="ru-RU" sz="1200" b="1" i="0" baseline="0"/>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A18510C-7E63-47F6-9811-00B36748F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16365</Words>
  <Characters>93285</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2014-07-28T12:18:00Z</dcterms:created>
  <dcterms:modified xsi:type="dcterms:W3CDTF">2014-07-28T12:19:00Z</dcterms:modified>
</cp:coreProperties>
</file>