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AF" w:rsidRDefault="008910AF" w:rsidP="008910AF">
      <w:pPr>
        <w:pStyle w:val="Style4"/>
        <w:widowControl/>
        <w:spacing w:before="24"/>
        <w:ind w:left="52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ЗАТВЕРДЖЕНО</w:t>
      </w:r>
    </w:p>
    <w:p w:rsidR="008910AF" w:rsidRPr="00EB51C4" w:rsidRDefault="008910AF" w:rsidP="008910AF">
      <w:pPr>
        <w:rPr>
          <w:rStyle w:val="FontStyle12"/>
          <w:b/>
          <w:lang w:val="uk-UA" w:eastAsia="uk-UA"/>
        </w:rPr>
      </w:pPr>
      <w:r w:rsidRPr="00EB51C4">
        <w:rPr>
          <w:rStyle w:val="FontStyle12"/>
          <w:b/>
          <w:lang w:val="uk-UA" w:eastAsia="uk-UA"/>
        </w:rPr>
        <w:t xml:space="preserve">Голова </w:t>
      </w:r>
      <w:proofErr w:type="spellStart"/>
      <w:r w:rsidRPr="00EB51C4">
        <w:rPr>
          <w:rStyle w:val="FontStyle12"/>
          <w:b/>
          <w:lang w:val="uk-UA" w:eastAsia="uk-UA"/>
        </w:rPr>
        <w:t>Недригайлівської</w:t>
      </w:r>
      <w:proofErr w:type="spellEnd"/>
      <w:r w:rsidRPr="00EB51C4">
        <w:rPr>
          <w:rStyle w:val="FontStyle12"/>
          <w:b/>
          <w:lang w:val="uk-UA" w:eastAsia="uk-UA"/>
        </w:rPr>
        <w:t xml:space="preserve"> районної </w:t>
      </w:r>
    </w:p>
    <w:p w:rsidR="008910AF" w:rsidRPr="00EB51C4" w:rsidRDefault="008910AF" w:rsidP="008910AF">
      <w:pPr>
        <w:rPr>
          <w:rStyle w:val="FontStyle12"/>
          <w:b/>
          <w:lang w:val="uk-UA" w:eastAsia="uk-UA"/>
        </w:rPr>
      </w:pPr>
      <w:r w:rsidRPr="00EB51C4">
        <w:rPr>
          <w:rStyle w:val="FontStyle12"/>
          <w:b/>
          <w:lang w:val="uk-UA" w:eastAsia="uk-UA"/>
        </w:rPr>
        <w:t>державної адміністрації</w:t>
      </w:r>
    </w:p>
    <w:p w:rsidR="008910AF" w:rsidRPr="00EB51C4" w:rsidRDefault="008910AF" w:rsidP="008910AF">
      <w:pPr>
        <w:rPr>
          <w:rStyle w:val="FontStyle12"/>
          <w:b/>
          <w:lang w:val="uk-UA" w:eastAsia="uk-UA"/>
        </w:rPr>
      </w:pPr>
      <w:proofErr w:type="spellStart"/>
      <w:r w:rsidRPr="00EB51C4">
        <w:rPr>
          <w:rStyle w:val="FontStyle12"/>
          <w:b/>
          <w:u w:val="single"/>
          <w:lang w:val="uk-UA" w:eastAsia="uk-UA"/>
        </w:rPr>
        <w:t>Коренев</w:t>
      </w:r>
      <w:proofErr w:type="spellEnd"/>
      <w:r w:rsidRPr="00EB51C4">
        <w:rPr>
          <w:rStyle w:val="FontStyle12"/>
          <w:b/>
          <w:u w:val="single"/>
          <w:lang w:val="uk-UA" w:eastAsia="uk-UA"/>
        </w:rPr>
        <w:t xml:space="preserve"> О.І</w:t>
      </w:r>
      <w:r w:rsidRPr="00EB51C4">
        <w:rPr>
          <w:rStyle w:val="FontStyle12"/>
          <w:b/>
          <w:lang w:val="uk-UA" w:eastAsia="uk-UA"/>
        </w:rPr>
        <w:t>.___________________</w:t>
      </w:r>
    </w:p>
    <w:p w:rsidR="008910AF" w:rsidRDefault="008910AF" w:rsidP="008910AF">
      <w:pPr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   (ПІБ керівника, підпис)</w:t>
      </w:r>
    </w:p>
    <w:p w:rsidR="008910AF" w:rsidRDefault="008910AF" w:rsidP="008910AF">
      <w:pPr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br/>
        <w:t>«</w:t>
      </w:r>
      <w:r w:rsidRPr="008910AF">
        <w:rPr>
          <w:rStyle w:val="FontStyle12"/>
          <w:lang w:eastAsia="uk-UA"/>
        </w:rPr>
        <w:t>2</w:t>
      </w:r>
      <w:r>
        <w:rPr>
          <w:rStyle w:val="FontStyle12"/>
          <w:lang w:val="uk-UA" w:eastAsia="uk-UA"/>
        </w:rPr>
        <w:t>0_» червня 2012 року</w:t>
      </w: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pStyle w:val="Style6"/>
        <w:widowControl/>
        <w:spacing w:before="91" w:line="312" w:lineRule="exact"/>
        <w:rPr>
          <w:rStyle w:val="FontStyle12"/>
          <w:b/>
          <w:lang w:val="uk-UA" w:eastAsia="uk-UA"/>
        </w:rPr>
      </w:pPr>
    </w:p>
    <w:p w:rsidR="008910AF" w:rsidRDefault="008910AF" w:rsidP="008910AF">
      <w:pPr>
        <w:pStyle w:val="Style6"/>
        <w:widowControl/>
        <w:spacing w:before="91" w:line="312" w:lineRule="exact"/>
        <w:rPr>
          <w:rStyle w:val="FontStyle12"/>
          <w:lang w:val="uk-UA" w:eastAsia="uk-UA"/>
        </w:rPr>
      </w:pPr>
      <w:r w:rsidRPr="007A34FC">
        <w:rPr>
          <w:rStyle w:val="FontStyle12"/>
          <w:b/>
          <w:lang w:val="uk-UA" w:eastAsia="uk-UA"/>
        </w:rPr>
        <w:t>ТЕХНОЛОГІЧНА КАРТКА*</w:t>
      </w:r>
    </w:p>
    <w:p w:rsidR="008910AF" w:rsidRDefault="008910AF" w:rsidP="008910AF">
      <w:pPr>
        <w:pStyle w:val="Style6"/>
        <w:widowControl/>
        <w:spacing w:before="91" w:line="312" w:lineRule="exact"/>
        <w:rPr>
          <w:rStyle w:val="FontStyle12"/>
          <w:lang w:val="uk-UA" w:eastAsia="uk-UA"/>
        </w:rPr>
      </w:pPr>
      <w:r>
        <w:rPr>
          <w:rStyle w:val="FontStyle12"/>
          <w:lang w:val="uk-UA" w:eastAsia="uk-UA"/>
        </w:rPr>
        <w:t xml:space="preserve">адміністративної послуги, яка надається населенню та суб'єктам господарювання </w:t>
      </w:r>
      <w:proofErr w:type="spellStart"/>
      <w:r>
        <w:rPr>
          <w:rStyle w:val="FontStyle12"/>
          <w:lang w:val="uk-UA" w:eastAsia="uk-UA"/>
        </w:rPr>
        <w:t>Недригайлівського</w:t>
      </w:r>
      <w:proofErr w:type="spellEnd"/>
      <w:r>
        <w:rPr>
          <w:rStyle w:val="FontStyle12"/>
          <w:lang w:val="uk-UA" w:eastAsia="uk-UA"/>
        </w:rPr>
        <w:t xml:space="preserve"> району</w:t>
      </w:r>
    </w:p>
    <w:p w:rsidR="008910AF" w:rsidRDefault="008910AF" w:rsidP="008910AF">
      <w:pPr>
        <w:jc w:val="center"/>
        <w:rPr>
          <w:rStyle w:val="FontStyle12"/>
          <w:u w:val="single"/>
          <w:lang w:val="uk-UA" w:eastAsia="uk-UA"/>
        </w:rPr>
      </w:pPr>
      <w:r>
        <w:rPr>
          <w:rStyle w:val="FontStyle12"/>
          <w:u w:val="single"/>
          <w:lang w:val="uk-UA" w:eastAsia="uk-UA"/>
        </w:rPr>
        <w:t>видача атестатів виробництва молока, молочної сировини і молочних продуктів</w:t>
      </w:r>
    </w:p>
    <w:p w:rsidR="008910AF" w:rsidRDefault="008910AF" w:rsidP="008910AF">
      <w:pPr>
        <w:jc w:val="center"/>
        <w:rPr>
          <w:rStyle w:val="FontStyle12"/>
          <w:lang w:val="uk-UA" w:eastAsia="uk-UA"/>
        </w:rPr>
      </w:pPr>
      <w:r w:rsidRPr="001712F1">
        <w:rPr>
          <w:rStyle w:val="FontStyle12"/>
          <w:sz w:val="20"/>
          <w:szCs w:val="20"/>
          <w:lang w:val="uk-UA" w:eastAsia="uk-UA"/>
        </w:rPr>
        <w:t>(назва послуги)</w:t>
      </w: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5369"/>
        <w:gridCol w:w="3698"/>
      </w:tblGrid>
      <w:tr w:rsidR="008910AF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312" w:lineRule="exact"/>
              <w:ind w:left="14" w:hanging="14"/>
              <w:jc w:val="center"/>
              <w:rPr>
                <w:rStyle w:val="FontStyle12"/>
                <w:lang w:val="uk-UA"/>
              </w:rPr>
            </w:pPr>
            <w:r>
              <w:rPr>
                <w:rStyle w:val="FontStyle12"/>
              </w:rPr>
              <w:t xml:space="preserve">№ </w:t>
            </w:r>
            <w:proofErr w:type="gramStart"/>
            <w:r>
              <w:rPr>
                <w:rStyle w:val="FontStyle12"/>
                <w:lang w:val="uk-UA"/>
              </w:rPr>
              <w:t>п</w:t>
            </w:r>
            <w:proofErr w:type="gramEnd"/>
            <w:r>
              <w:rPr>
                <w:rStyle w:val="FontStyle12"/>
                <w:lang w:val="uk-UA"/>
              </w:rPr>
              <w:t>/</w:t>
            </w:r>
            <w:proofErr w:type="spellStart"/>
            <w:r>
              <w:rPr>
                <w:rStyle w:val="FontStyle12"/>
                <w:lang w:val="uk-UA"/>
              </w:rPr>
              <w:t>п</w:t>
            </w:r>
            <w:proofErr w:type="spellEnd"/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317" w:lineRule="exact"/>
              <w:jc w:val="center"/>
              <w:rPr>
                <w:rStyle w:val="FontStyle12"/>
                <w:lang w:val="uk-UA" w:eastAsia="uk-UA"/>
              </w:rPr>
            </w:pPr>
            <w:r>
              <w:rPr>
                <w:rStyle w:val="FontStyle12"/>
                <w:lang w:val="uk-UA" w:eastAsia="uk-UA"/>
              </w:rPr>
              <w:t xml:space="preserve">Порядок розгляду (чітко вказати </w:t>
            </w:r>
          </w:p>
          <w:p w:rsidR="008910AF" w:rsidRDefault="008910AF" w:rsidP="00274F21">
            <w:pPr>
              <w:pStyle w:val="Style8"/>
              <w:widowControl/>
              <w:spacing w:line="317" w:lineRule="exact"/>
              <w:jc w:val="center"/>
              <w:rPr>
                <w:rStyle w:val="FontStyle12"/>
                <w:lang w:val="uk-UA" w:eastAsia="uk-UA"/>
              </w:rPr>
            </w:pPr>
            <w:r>
              <w:rPr>
                <w:rStyle w:val="FontStyle12"/>
                <w:lang w:val="uk-UA" w:eastAsia="uk-UA"/>
              </w:rPr>
              <w:t>послідовність кожної дії при розгляді звернення)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317" w:lineRule="exact"/>
              <w:ind w:left="274"/>
              <w:jc w:val="center"/>
              <w:rPr>
                <w:rStyle w:val="FontStyle12"/>
                <w:lang w:val="uk-UA" w:eastAsia="uk-UA"/>
              </w:rPr>
            </w:pPr>
            <w:r>
              <w:rPr>
                <w:rStyle w:val="FontStyle12"/>
                <w:lang w:val="uk-UA" w:eastAsia="uk-UA"/>
              </w:rPr>
              <w:t>Термін розгляду (чітко вказати термін виконання кожної дії при розгляді звернення)</w:t>
            </w:r>
          </w:p>
        </w:tc>
      </w:tr>
      <w:tr w:rsidR="008910AF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A43F48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t>1.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6D7CCB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Для проведення атестації суб'єкти господарювання подають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заяву  до  відповідного  територіального органу виконавчої влади 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питань аграрної політики (додаток 1),  відомості, які засвідчують,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що   їх   технічні  можливості  забезпечують  виробництво  молока,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молочної  сировини  і молочних  продуктів  відповідно  до   вимог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D7CCB">
              <w:rPr>
                <w:rFonts w:ascii="Times New Roman" w:hAnsi="Times New Roman"/>
                <w:sz w:val="24"/>
                <w:szCs w:val="24"/>
                <w:lang w:val="uk-UA"/>
              </w:rPr>
              <w:t>нормативних документів (додаток 2).</w:t>
            </w:r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43F48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відомостей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додаються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завірені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печаткою,  за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питаннями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наведеними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додатку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Після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відповідним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територіальним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органом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аграрної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наданих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A43F4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43F48">
              <w:rPr>
                <w:rFonts w:ascii="Times New Roman" w:hAnsi="Times New Roman"/>
                <w:sz w:val="24"/>
                <w:szCs w:val="24"/>
              </w:rPr>
              <w:t>ін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3-х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направляє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представникам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входять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до  складу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комісії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>,  для</w:t>
            </w:r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опрацювання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та  </w:t>
            </w:r>
            <w:proofErr w:type="spellStart"/>
            <w:proofErr w:type="gramStart"/>
            <w:r w:rsidRPr="00A43F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43F48">
              <w:rPr>
                <w:rFonts w:ascii="Times New Roman" w:hAnsi="Times New Roman"/>
                <w:sz w:val="24"/>
                <w:szCs w:val="24"/>
              </w:rPr>
              <w:t>ідготовки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висновків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виробництва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молока,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молочної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сировини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молочних</w:t>
            </w:r>
            <w:proofErr w:type="spellEnd"/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продуктів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суб'єктів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A43F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1"/>
              <w:widowControl/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 w:rsidRPr="00A43F48">
              <w:t>ротягом</w:t>
            </w:r>
            <w:proofErr w:type="spellEnd"/>
            <w:r w:rsidRPr="00A43F48">
              <w:t xml:space="preserve">  3-х  </w:t>
            </w:r>
            <w:proofErr w:type="spellStart"/>
            <w:r w:rsidRPr="00A43F48">
              <w:t>днів</w:t>
            </w:r>
            <w:proofErr w:type="spellEnd"/>
          </w:p>
        </w:tc>
      </w:tr>
      <w:tr w:rsidR="008910AF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  <w:lang w:val="uk-UA"/>
              </w:rPr>
              <w:t>2</w:t>
            </w:r>
            <w:r>
              <w:rPr>
                <w:rStyle w:val="FontStyle12"/>
              </w:rPr>
              <w:t>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1"/>
              <w:widowControl/>
            </w:pPr>
            <w:r w:rsidRPr="00992BB9">
              <w:rPr>
                <w:lang w:val="uk-UA"/>
              </w:rPr>
              <w:t>Атестаційною  комісією  впродовж  місяця   перевіряються надані  документи  та приймаються рішення щодо перевірки суб'єктів господарювання з виїздом на місце для  встановлення  достовірності</w:t>
            </w:r>
            <w:r>
              <w:rPr>
                <w:lang w:val="uk-UA"/>
              </w:rPr>
              <w:t xml:space="preserve"> </w:t>
            </w:r>
            <w:proofErr w:type="spellStart"/>
            <w:r w:rsidRPr="00992BB9">
              <w:t>даних</w:t>
            </w:r>
            <w:proofErr w:type="spellEnd"/>
            <w:r w:rsidRPr="00992BB9">
              <w:t xml:space="preserve">, </w:t>
            </w:r>
            <w:proofErr w:type="spellStart"/>
            <w:r w:rsidRPr="00992BB9">
              <w:t>наведених</w:t>
            </w:r>
            <w:proofErr w:type="spellEnd"/>
            <w:r w:rsidRPr="00992BB9">
              <w:t xml:space="preserve"> у </w:t>
            </w:r>
            <w:proofErr w:type="spellStart"/>
            <w:r w:rsidRPr="00992BB9">
              <w:t>заяві</w:t>
            </w:r>
            <w:proofErr w:type="spellEnd"/>
            <w:r w:rsidRPr="00992BB9">
              <w:t xml:space="preserve"> та </w:t>
            </w:r>
            <w:proofErr w:type="spellStart"/>
            <w:r w:rsidRPr="00992BB9">
              <w:t>поданих</w:t>
            </w:r>
            <w:proofErr w:type="spellEnd"/>
            <w:r w:rsidRPr="00992BB9">
              <w:t xml:space="preserve"> документах.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1"/>
              <w:widowControl/>
            </w:pPr>
            <w:r>
              <w:rPr>
                <w:lang w:val="uk-UA"/>
              </w:rPr>
              <w:t>Протягом 1 місяця</w:t>
            </w:r>
          </w:p>
        </w:tc>
      </w:tr>
      <w:tr w:rsidR="008910AF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A43F48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t>3.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залишається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підписана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особою, яка не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повноважень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74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виявлена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недостовірність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даних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заяві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та документах,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наданих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</w:rPr>
              <w:t xml:space="preserve">до заяви на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атестацію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виробництва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молока,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молочної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сировини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молочних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продуктів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залишення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заяви    без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суб'єктам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повідомляється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письмовій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формі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зазначенням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C374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7406">
              <w:rPr>
                <w:rFonts w:ascii="Times New Roman" w:hAnsi="Times New Roman"/>
                <w:sz w:val="24"/>
                <w:szCs w:val="24"/>
              </w:rPr>
              <w:t>ідстав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такого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атестаційної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комісії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у 10-денний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</w:rPr>
              <w:t xml:space="preserve">дня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заяви.</w:t>
            </w:r>
          </w:p>
          <w:p w:rsidR="008910AF" w:rsidRPr="00A43F48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A43F48" w:rsidRDefault="008910AF" w:rsidP="00274F21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У </w:t>
            </w:r>
            <w:r w:rsidRPr="00A43F48">
              <w:rPr>
                <w:rFonts w:ascii="Times New Roman" w:hAnsi="Times New Roman"/>
              </w:rPr>
              <w:t xml:space="preserve">10-денний </w:t>
            </w:r>
            <w:proofErr w:type="spellStart"/>
            <w:r w:rsidRPr="00A43F48">
              <w:rPr>
                <w:rFonts w:ascii="Times New Roman" w:hAnsi="Times New Roman"/>
              </w:rPr>
              <w:t>термін</w:t>
            </w:r>
            <w:proofErr w:type="spellEnd"/>
            <w:r w:rsidRPr="00A43F48">
              <w:rPr>
                <w:rFonts w:ascii="Times New Roman" w:hAnsi="Times New Roman"/>
              </w:rPr>
              <w:t xml:space="preserve"> </w:t>
            </w:r>
            <w:proofErr w:type="spellStart"/>
            <w:r w:rsidRPr="00A43F48">
              <w:rPr>
                <w:rFonts w:ascii="Times New Roman" w:hAnsi="Times New Roman"/>
              </w:rPr>
              <w:t>із</w:t>
            </w:r>
            <w:proofErr w:type="spellEnd"/>
            <w:r w:rsidRPr="00A43F48">
              <w:rPr>
                <w:rFonts w:ascii="Times New Roman" w:hAnsi="Times New Roman"/>
                <w:lang w:val="uk-UA"/>
              </w:rPr>
              <w:t xml:space="preserve"> </w:t>
            </w:r>
            <w:r w:rsidRPr="00A43F48">
              <w:rPr>
                <w:rFonts w:ascii="Times New Roman" w:hAnsi="Times New Roman"/>
              </w:rPr>
              <w:t xml:space="preserve">дня </w:t>
            </w:r>
            <w:proofErr w:type="spellStart"/>
            <w:r w:rsidRPr="00A43F48">
              <w:rPr>
                <w:rFonts w:ascii="Times New Roman" w:hAnsi="Times New Roman"/>
              </w:rPr>
              <w:t>отримання</w:t>
            </w:r>
            <w:proofErr w:type="spellEnd"/>
            <w:r w:rsidRPr="00A43F48">
              <w:rPr>
                <w:rFonts w:ascii="Times New Roman" w:hAnsi="Times New Roman"/>
              </w:rPr>
              <w:t xml:space="preserve"> заяви</w:t>
            </w:r>
          </w:p>
        </w:tc>
      </w:tr>
      <w:tr w:rsidR="008910AF" w:rsidRPr="00C37406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A43F48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lastRenderedPageBreak/>
              <w:t>4.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544B">
              <w:rPr>
                <w:rFonts w:ascii="Times New Roman" w:hAnsi="Times New Roman"/>
                <w:sz w:val="24"/>
                <w:szCs w:val="24"/>
                <w:lang w:val="uk-UA"/>
              </w:rPr>
              <w:t>У разі  прийняття  атестаційною  комісією  рішення  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6544B">
              <w:rPr>
                <w:rFonts w:ascii="Times New Roman" w:hAnsi="Times New Roman"/>
                <w:sz w:val="24"/>
                <w:szCs w:val="24"/>
                <w:lang w:val="uk-UA"/>
              </w:rPr>
              <w:t>відмову  у  видачі  атестата  суб'єкту господарювання надсилається повідомлення про прийняте рішення в письмовій формі протягом трьох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6544B">
              <w:rPr>
                <w:rFonts w:ascii="Times New Roman" w:hAnsi="Times New Roman"/>
                <w:sz w:val="24"/>
                <w:szCs w:val="24"/>
                <w:lang w:val="uk-UA"/>
              </w:rPr>
              <w:t>робочих днів з дня його прийняття із зазначенням підстав.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06544B">
              <w:rPr>
                <w:rFonts w:ascii="Times New Roman" w:hAnsi="Times New Roman"/>
                <w:sz w:val="24"/>
                <w:szCs w:val="24"/>
                <w:lang w:val="uk-UA"/>
              </w:rPr>
              <w:t>ротягом трьох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6544B">
              <w:rPr>
                <w:rFonts w:ascii="Times New Roman" w:hAnsi="Times New Roman"/>
                <w:sz w:val="24"/>
                <w:szCs w:val="24"/>
                <w:lang w:val="uk-UA"/>
              </w:rPr>
              <w:t>робочих днів з дня його прийняття</w:t>
            </w:r>
          </w:p>
        </w:tc>
      </w:tr>
      <w:tr w:rsidR="008910AF" w:rsidRPr="00C37406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t>5.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Суб'єкт  господарювання  має  право  повторно подати 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атестаційної комісії заяву не раніше ніж через три місяці  з  дати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прийняття   рішення   про  відмову  за  умови  усунення  виявлених</w:t>
            </w:r>
          </w:p>
          <w:p w:rsidR="008910AF" w:rsidRPr="00957FDA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недоліків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 раніше ніж через три місяці  </w:t>
            </w:r>
          </w:p>
        </w:tc>
      </w:tr>
      <w:tr w:rsidR="008910AF" w:rsidRPr="00C37406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t>6.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957FDA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Відповідний  територіальний  орган  виконавчої  влади  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питань  аграрної  політики  протягом  десяти  робочих  днів  з дня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прийняття рішення атестаційною комісією направляє до  Міністерства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аграрної   політики   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країни   подання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разом  із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37406">
              <w:rPr>
                <w:rFonts w:ascii="Times New Roman" w:hAnsi="Times New Roman"/>
                <w:sz w:val="24"/>
                <w:szCs w:val="24"/>
                <w:lang w:val="uk-UA"/>
              </w:rPr>
              <w:t>документами,  наданими до заяви на атестацію,  для узагальнення 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57FDA">
              <w:rPr>
                <w:rFonts w:ascii="Times New Roman" w:hAnsi="Times New Roman"/>
                <w:sz w:val="24"/>
                <w:szCs w:val="24"/>
                <w:lang w:val="uk-UA"/>
              </w:rPr>
              <w:t>занесення його до реєстру атестованих виробників молока,  молочної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сировини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молочних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продукті</w:t>
            </w:r>
            <w:proofErr w:type="gramStart"/>
            <w:r w:rsidRPr="00C3740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C374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ротягом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десяти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  <w:p w:rsidR="008910AF" w:rsidRDefault="008910AF" w:rsidP="00274F2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740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37406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атестаційною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комісією</w:t>
            </w:r>
            <w:proofErr w:type="spellEnd"/>
          </w:p>
        </w:tc>
      </w:tr>
      <w:tr w:rsidR="008910AF" w:rsidRPr="00C37406" w:rsidTr="00274F21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Style8"/>
              <w:widowControl/>
              <w:spacing w:line="240" w:lineRule="auto"/>
              <w:rPr>
                <w:rStyle w:val="FontStyle12"/>
                <w:lang w:val="uk-UA"/>
              </w:rPr>
            </w:pPr>
            <w:r>
              <w:rPr>
                <w:rStyle w:val="FontStyle12"/>
                <w:lang w:val="uk-UA"/>
              </w:rPr>
              <w:t>7.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Атестат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на 5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C3740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7406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закінчення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 строку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атестата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проводиться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переатестація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10AF" w:rsidRPr="00C37406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0AF" w:rsidRDefault="008910AF" w:rsidP="00274F2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Атестат</w:t>
            </w:r>
            <w:proofErr w:type="spell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37406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proofErr w:type="gramEnd"/>
            <w:r w:rsidRPr="00C37406">
              <w:rPr>
                <w:rFonts w:ascii="Times New Roman" w:hAnsi="Times New Roman"/>
                <w:sz w:val="24"/>
                <w:szCs w:val="24"/>
              </w:rPr>
              <w:t xml:space="preserve"> на 5 </w:t>
            </w:r>
            <w:proofErr w:type="spellStart"/>
            <w:r w:rsidRPr="00C37406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</w:p>
        </w:tc>
      </w:tr>
    </w:tbl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Pr="005900AE" w:rsidRDefault="008910AF" w:rsidP="008910AF">
      <w:pPr>
        <w:rPr>
          <w:u w:val="single"/>
          <w:lang w:val="uk-UA"/>
        </w:rPr>
      </w:pPr>
      <w:r w:rsidRPr="005900AE">
        <w:rPr>
          <w:u w:val="single"/>
          <w:lang w:val="uk-UA"/>
        </w:rPr>
        <w:t xml:space="preserve">Начальник управління агропромислового </w:t>
      </w:r>
    </w:p>
    <w:p w:rsidR="008910AF" w:rsidRPr="005900AE" w:rsidRDefault="008910AF" w:rsidP="008910AF">
      <w:pPr>
        <w:rPr>
          <w:u w:val="single"/>
          <w:lang w:val="uk-UA"/>
        </w:rPr>
      </w:pPr>
      <w:r w:rsidRPr="005900AE">
        <w:rPr>
          <w:u w:val="single"/>
          <w:lang w:val="uk-UA"/>
        </w:rPr>
        <w:t xml:space="preserve">розвитку </w:t>
      </w:r>
      <w:proofErr w:type="spellStart"/>
      <w:r w:rsidRPr="005900AE">
        <w:rPr>
          <w:u w:val="single"/>
          <w:lang w:val="uk-UA"/>
        </w:rPr>
        <w:t>Недригайлівської</w:t>
      </w:r>
      <w:proofErr w:type="spellEnd"/>
      <w:r w:rsidRPr="005900AE">
        <w:rPr>
          <w:u w:val="single"/>
          <w:lang w:val="uk-UA"/>
        </w:rPr>
        <w:t xml:space="preserve"> райдержадміністрації</w:t>
      </w:r>
      <w:r w:rsidRPr="005900AE">
        <w:rPr>
          <w:lang w:val="uk-UA"/>
        </w:rPr>
        <w:t xml:space="preserve">                                        </w:t>
      </w:r>
      <w:r w:rsidRPr="005900AE">
        <w:rPr>
          <w:u w:val="single"/>
          <w:lang w:val="uk-UA"/>
        </w:rPr>
        <w:t>Г.В.</w:t>
      </w:r>
      <w:proofErr w:type="spellStart"/>
      <w:r w:rsidRPr="005900AE">
        <w:rPr>
          <w:u w:val="single"/>
          <w:lang w:val="uk-UA"/>
        </w:rPr>
        <w:t>Таранченко</w:t>
      </w:r>
      <w:proofErr w:type="spellEnd"/>
      <w:r w:rsidRPr="005900AE">
        <w:rPr>
          <w:u w:val="single"/>
          <w:lang w:val="uk-UA"/>
        </w:rPr>
        <w:t xml:space="preserve">         </w:t>
      </w:r>
    </w:p>
    <w:p w:rsidR="008910AF" w:rsidRPr="00043FA9" w:rsidRDefault="008910AF" w:rsidP="008910A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</w:t>
      </w:r>
      <w:r w:rsidRPr="00043FA9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 xml:space="preserve">посада надавача </w:t>
      </w:r>
      <w:proofErr w:type="spellStart"/>
      <w:r>
        <w:rPr>
          <w:sz w:val="20"/>
          <w:szCs w:val="20"/>
          <w:lang w:val="uk-UA"/>
        </w:rPr>
        <w:t>адмінпослуги</w:t>
      </w:r>
      <w:proofErr w:type="spellEnd"/>
      <w:r>
        <w:rPr>
          <w:sz w:val="20"/>
          <w:szCs w:val="20"/>
          <w:lang w:val="uk-UA"/>
        </w:rPr>
        <w:t>)                                                                                         (П.І.Б.)</w:t>
      </w: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8910AF" w:rsidRDefault="008910AF" w:rsidP="008910AF">
      <w:pPr>
        <w:rPr>
          <w:rStyle w:val="FontStyle12"/>
          <w:lang w:val="uk-UA" w:eastAsia="uk-UA"/>
        </w:rPr>
      </w:pPr>
    </w:p>
    <w:p w:rsidR="00B5661C" w:rsidRPr="008910AF" w:rsidRDefault="00B5661C">
      <w:pPr>
        <w:rPr>
          <w:lang w:val="uk-UA"/>
        </w:rPr>
      </w:pPr>
    </w:p>
    <w:sectPr w:rsidR="00B5661C" w:rsidRPr="0089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910AF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10AF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A2E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910AF"/>
  </w:style>
  <w:style w:type="character" w:customStyle="1" w:styleId="FontStyle12">
    <w:name w:val="Font Style12"/>
    <w:basedOn w:val="a0"/>
    <w:rsid w:val="008910A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8910A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8910AF"/>
  </w:style>
  <w:style w:type="paragraph" w:customStyle="1" w:styleId="Style6">
    <w:name w:val="Style6"/>
    <w:basedOn w:val="a"/>
    <w:rsid w:val="008910AF"/>
    <w:pPr>
      <w:spacing w:line="314" w:lineRule="exact"/>
      <w:jc w:val="center"/>
    </w:pPr>
  </w:style>
  <w:style w:type="paragraph" w:customStyle="1" w:styleId="Style8">
    <w:name w:val="Style8"/>
    <w:basedOn w:val="a"/>
    <w:rsid w:val="008910AF"/>
    <w:pPr>
      <w:spacing w:line="293" w:lineRule="exact"/>
    </w:pPr>
  </w:style>
  <w:style w:type="paragraph" w:styleId="a3">
    <w:name w:val="No Spacing"/>
    <w:qFormat/>
    <w:rsid w:val="008910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3135</Characters>
  <Application>Microsoft Office Word</Application>
  <DocSecurity>0</DocSecurity>
  <Lines>26</Lines>
  <Paragraphs>7</Paragraphs>
  <ScaleCrop>false</ScaleCrop>
  <Company>Microsoft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2014-03-20T09:01:00Z</dcterms:created>
  <dcterms:modified xsi:type="dcterms:W3CDTF">2014-03-20T09:02:00Z</dcterms:modified>
</cp:coreProperties>
</file>