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8D7" w:rsidRDefault="00C538D7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4E6338" w:rsidRDefault="00C538D7" w:rsidP="00823407">
      <w:pPr>
        <w:pStyle w:val="a3"/>
        <w:spacing w:after="0" w:line="240" w:lineRule="auto"/>
        <w:ind w:left="142" w:right="1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E6338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4E6338" w:rsidRDefault="00C538D7" w:rsidP="00C538D7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4E6338">
        <w:rPr>
          <w:rFonts w:ascii="Times New Roman" w:hAnsi="Times New Roman" w:cs="Times New Roman"/>
          <w:b/>
          <w:sz w:val="40"/>
          <w:szCs w:val="40"/>
          <w:lang w:val="uk-UA"/>
        </w:rPr>
        <w:t>Районна комплексна програма</w:t>
      </w:r>
    </w:p>
    <w:p w:rsidR="00C538D7" w:rsidRPr="004E6338" w:rsidRDefault="00C538D7" w:rsidP="00C538D7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4E6338">
        <w:rPr>
          <w:rFonts w:ascii="Times New Roman" w:hAnsi="Times New Roman" w:cs="Times New Roman"/>
          <w:b/>
          <w:sz w:val="40"/>
          <w:szCs w:val="40"/>
          <w:lang w:val="uk-UA"/>
        </w:rPr>
        <w:t xml:space="preserve">«Освіта </w:t>
      </w:r>
      <w:proofErr w:type="spellStart"/>
      <w:r w:rsidRPr="004E6338">
        <w:rPr>
          <w:rFonts w:ascii="Times New Roman" w:hAnsi="Times New Roman" w:cs="Times New Roman"/>
          <w:b/>
          <w:sz w:val="40"/>
          <w:szCs w:val="40"/>
          <w:lang w:val="uk-UA"/>
        </w:rPr>
        <w:t>Недригайлівщини</w:t>
      </w:r>
      <w:proofErr w:type="spellEnd"/>
      <w:r w:rsidRPr="004E6338">
        <w:rPr>
          <w:rFonts w:ascii="Times New Roman" w:hAnsi="Times New Roman" w:cs="Times New Roman"/>
          <w:b/>
          <w:sz w:val="40"/>
          <w:szCs w:val="40"/>
          <w:lang w:val="uk-UA"/>
        </w:rPr>
        <w:t xml:space="preserve"> у 201</w:t>
      </w:r>
      <w:r w:rsidR="003D61DB">
        <w:rPr>
          <w:rFonts w:ascii="Times New Roman" w:hAnsi="Times New Roman" w:cs="Times New Roman"/>
          <w:b/>
          <w:sz w:val="40"/>
          <w:szCs w:val="40"/>
          <w:lang w:val="uk-UA"/>
        </w:rPr>
        <w:t>7 -</w:t>
      </w:r>
      <w:r w:rsidRPr="004E6338">
        <w:rPr>
          <w:rFonts w:ascii="Times New Roman" w:hAnsi="Times New Roman" w:cs="Times New Roman"/>
          <w:b/>
          <w:sz w:val="40"/>
          <w:szCs w:val="40"/>
          <w:lang w:val="uk-UA"/>
        </w:rPr>
        <w:t xml:space="preserve"> 2018 роках»</w:t>
      </w: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D0514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5140">
        <w:rPr>
          <w:rFonts w:ascii="Times New Roman" w:hAnsi="Times New Roman" w:cs="Times New Roman"/>
          <w:b/>
          <w:sz w:val="28"/>
          <w:szCs w:val="28"/>
          <w:lang w:val="uk-UA"/>
        </w:rPr>
        <w:t>1.Паспорт</w:t>
      </w:r>
    </w:p>
    <w:p w:rsidR="00C538D7" w:rsidRDefault="005F2704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Райнної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комплексної програми «</w:t>
      </w:r>
      <w:r w:rsidR="00C538D7" w:rsidRPr="00D051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Освіта </w:t>
      </w:r>
      <w:proofErr w:type="spellStart"/>
      <w:r w:rsidR="00C538D7" w:rsidRPr="00D05140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Недригайлівщини</w:t>
      </w:r>
      <w:proofErr w:type="spellEnd"/>
      <w:r w:rsidR="00C538D7" w:rsidRPr="00D051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2016 </w:t>
      </w:r>
      <w:r w:rsidR="003D61D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C538D7" w:rsidRPr="00D051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2018 роках»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38D7" w:rsidRPr="00D051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(далі </w:t>
      </w:r>
      <w:r w:rsidR="003D61D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C538D7" w:rsidRPr="00D051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Програма )</w:t>
      </w: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0206" w:type="dxa"/>
        <w:tblInd w:w="-459" w:type="dxa"/>
        <w:tblLook w:val="04A0"/>
      </w:tblPr>
      <w:tblGrid>
        <w:gridCol w:w="959"/>
        <w:gridCol w:w="4854"/>
        <w:gridCol w:w="4393"/>
      </w:tblGrid>
      <w:tr w:rsidR="00C538D7" w:rsidTr="000B6544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393" w:type="dxa"/>
          </w:tcPr>
          <w:p w:rsidR="00C538D7" w:rsidRPr="00907839" w:rsidRDefault="00C538D7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 державна адміністрація </w:t>
            </w:r>
          </w:p>
        </w:tc>
      </w:tr>
      <w:tr w:rsidR="00C538D7" w:rsidRPr="00823407" w:rsidTr="000B6544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розпорядчого документа органу виконавчої 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розроблення програми </w:t>
            </w:r>
          </w:p>
        </w:tc>
        <w:tc>
          <w:tcPr>
            <w:tcW w:w="4393" w:type="dxa"/>
          </w:tcPr>
          <w:p w:rsidR="00C538D7" w:rsidRPr="0092672D" w:rsidRDefault="00C538D7" w:rsidP="00A916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7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державної адміністрації від 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.04.2016  №  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61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 «Про 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організацію розроблення Районної комплексної програми «Освіта </w:t>
            </w:r>
            <w:proofErr w:type="spellStart"/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Недригайлівщини</w:t>
            </w:r>
            <w:proofErr w:type="spellEnd"/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2016 -2018 роках»</w:t>
            </w:r>
          </w:p>
        </w:tc>
      </w:tr>
      <w:tr w:rsidR="00C538D7" w:rsidRPr="00823407" w:rsidTr="000B6544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4393" w:type="dxa"/>
          </w:tcPr>
          <w:p w:rsidR="00C538D7" w:rsidRPr="0092672D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  <w:tr w:rsidR="00C538D7" w:rsidRPr="00823407" w:rsidTr="000B6544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4393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</w:tr>
      <w:tr w:rsidR="00C538D7" w:rsidRPr="00823407" w:rsidTr="000B6544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4393" w:type="dxa"/>
          </w:tcPr>
          <w:p w:rsidR="00C538D7" w:rsidRPr="00907839" w:rsidRDefault="00C538D7" w:rsidP="001A6C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адміністрації, </w:t>
            </w:r>
            <w:r w:rsidR="001A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органи місцевого самоврядування, освітні заклади району </w:t>
            </w:r>
          </w:p>
        </w:tc>
      </w:tr>
      <w:tr w:rsidR="00C538D7" w:rsidTr="000B6544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4393" w:type="dxa"/>
          </w:tcPr>
          <w:p w:rsidR="00C538D7" w:rsidRPr="00907839" w:rsidRDefault="00C538D7" w:rsidP="003D61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3D61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- 2018</w:t>
            </w:r>
          </w:p>
        </w:tc>
      </w:tr>
      <w:tr w:rsidR="00C538D7" w:rsidTr="000B6544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393" w:type="dxa"/>
          </w:tcPr>
          <w:p w:rsidR="00C538D7" w:rsidRPr="00907839" w:rsidRDefault="00761D82" w:rsidP="00761D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,о</w:t>
            </w:r>
            <w:r w:rsidR="00C538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бласний, районний, сільські та селищні бюджети, інші джерела </w:t>
            </w:r>
          </w:p>
        </w:tc>
      </w:tr>
      <w:tr w:rsidR="00C538D7" w:rsidRPr="003D61DB" w:rsidTr="000B6544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 всього: </w:t>
            </w:r>
          </w:p>
          <w:p w:rsidR="00C538D7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</w:t>
            </w:r>
          </w:p>
          <w:p w:rsidR="001A6CD0" w:rsidRDefault="001A6CD0" w:rsidP="001A6C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державний бюджет </w:t>
            </w:r>
          </w:p>
          <w:p w:rsidR="003D61DB" w:rsidRDefault="003D61DB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обласний бюджет</w:t>
            </w:r>
          </w:p>
          <w:p w:rsidR="00C538D7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06F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районний  бюджет</w:t>
            </w:r>
          </w:p>
          <w:p w:rsidR="004E4F5F" w:rsidRPr="00906FBA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бюджети сільських, селищних рад </w:t>
            </w:r>
          </w:p>
          <w:p w:rsidR="00C538D7" w:rsidRPr="00906FBA" w:rsidRDefault="003D61DB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інші джерела </w:t>
            </w:r>
          </w:p>
        </w:tc>
        <w:tc>
          <w:tcPr>
            <w:tcW w:w="4393" w:type="dxa"/>
          </w:tcPr>
          <w:p w:rsidR="003D61DB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36 237,00</w:t>
            </w:r>
            <w:r w:rsidR="003D61DB" w:rsidRPr="004E4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E4F5F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E4F5F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E4F5F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A6CD0" w:rsidRPr="004E4F5F" w:rsidRDefault="001A6CD0" w:rsidP="001A6C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30 000,0</w:t>
            </w:r>
          </w:p>
          <w:p w:rsid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3000,0</w:t>
            </w:r>
          </w:p>
          <w:p w:rsid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3125,0</w:t>
            </w:r>
          </w:p>
          <w:p w:rsid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2,00</w:t>
            </w:r>
          </w:p>
          <w:p w:rsidR="004E4F5F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</w:tc>
      </w:tr>
    </w:tbl>
    <w:p w:rsidR="00C538D7" w:rsidRPr="00D05140" w:rsidRDefault="00C538D7" w:rsidP="00C538D7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C538D7" w:rsidRDefault="00C538D7" w:rsidP="00C538D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400DBC" w:rsidRDefault="00400DBC" w:rsidP="00C538D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1A6CD0" w:rsidRDefault="001A6CD0" w:rsidP="00C538D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1A6CD0" w:rsidRDefault="001A6CD0" w:rsidP="00C538D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C538D7" w:rsidRDefault="00C538D7" w:rsidP="003D61DB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72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2. Визначення проблеми, на розв’язання якої спрямована   Програма</w:t>
      </w: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Pr="003717D1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Освіта – одна з найбільш масштабних і фундаментальних складових держави. Освітній простір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Недригайлівщини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потреби всіх категорій населення в навчанні й вихованні, наданні різних видів освітніх послуг.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Головним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напрямом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його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вдосконалення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є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досягнення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практичних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результатів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щодо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розширення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доступності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зростання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ефективності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3717D1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3717D1">
        <w:rPr>
          <w:rFonts w:ascii="Times New Roman" w:eastAsia="Calibri" w:hAnsi="Times New Roman" w:cs="Times New Roman"/>
          <w:sz w:val="28"/>
          <w:szCs w:val="28"/>
        </w:rPr>
        <w:t>ідвищення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якості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освіти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всіх</w:t>
      </w:r>
      <w:proofErr w:type="spellEnd"/>
      <w:r w:rsidRPr="00371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eastAsia="Calibri" w:hAnsi="Times New Roman" w:cs="Times New Roman"/>
          <w:sz w:val="28"/>
          <w:szCs w:val="28"/>
        </w:rPr>
        <w:t>рівнях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38D7" w:rsidRPr="003717D1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3717D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якісною і доступною дошкільною освітою, виховання компетентної особистості є пріоритетом у діяльності освітян </w:t>
      </w:r>
      <w:proofErr w:type="spellStart"/>
      <w:r w:rsidRPr="003717D1">
        <w:rPr>
          <w:rFonts w:ascii="Times New Roman" w:hAnsi="Times New Roman" w:cs="Times New Roman"/>
          <w:sz w:val="28"/>
          <w:szCs w:val="28"/>
          <w:lang w:val="uk-UA"/>
        </w:rPr>
        <w:t>Недригайлівщини</w:t>
      </w:r>
      <w:proofErr w:type="spellEnd"/>
      <w:r w:rsidRPr="003717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717D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функціонує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 </w:t>
      </w:r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717D1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міській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– 2.</w:t>
      </w:r>
    </w:p>
    <w:p w:rsidR="00C538D7" w:rsidRPr="00400DBC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17D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Усього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717D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17D1">
        <w:rPr>
          <w:rFonts w:ascii="Times New Roman" w:hAnsi="Times New Roman" w:cs="Times New Roman"/>
          <w:sz w:val="28"/>
          <w:szCs w:val="28"/>
        </w:rPr>
        <w:t>ізними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формами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r w:rsidR="00794E93">
        <w:rPr>
          <w:rFonts w:ascii="Times New Roman" w:hAnsi="Times New Roman" w:cs="Times New Roman"/>
          <w:sz w:val="28"/>
          <w:szCs w:val="28"/>
        </w:rPr>
        <w:t>у 201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94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4E93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794E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94E93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="00794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4E93">
        <w:rPr>
          <w:rFonts w:ascii="Times New Roman" w:hAnsi="Times New Roman" w:cs="Times New Roman"/>
          <w:sz w:val="28"/>
          <w:szCs w:val="28"/>
        </w:rPr>
        <w:t>охоплено</w:t>
      </w:r>
      <w:proofErr w:type="spellEnd"/>
      <w:r w:rsidR="00794E93">
        <w:rPr>
          <w:rFonts w:ascii="Times New Roman" w:hAnsi="Times New Roman" w:cs="Times New Roman"/>
          <w:sz w:val="28"/>
          <w:szCs w:val="28"/>
        </w:rPr>
        <w:t xml:space="preserve"> </w:t>
      </w:r>
      <w:r w:rsidR="00794E93">
        <w:rPr>
          <w:rFonts w:ascii="Times New Roman" w:hAnsi="Times New Roman" w:cs="Times New Roman"/>
          <w:sz w:val="28"/>
          <w:szCs w:val="28"/>
          <w:lang w:val="uk-UA"/>
        </w:rPr>
        <w:t>93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17D1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100%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п’ятирічного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>.</w:t>
      </w:r>
    </w:p>
    <w:p w:rsidR="00C538D7" w:rsidRPr="003717D1" w:rsidRDefault="00C538D7" w:rsidP="00C538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17D1">
        <w:rPr>
          <w:rFonts w:ascii="Times New Roman" w:hAnsi="Times New Roman" w:cs="Times New Roman"/>
          <w:b/>
          <w:sz w:val="28"/>
          <w:szCs w:val="28"/>
        </w:rPr>
        <w:t>Орієнтовне</w:t>
      </w:r>
      <w:proofErr w:type="spellEnd"/>
      <w:r w:rsidRPr="00371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b/>
          <w:sz w:val="28"/>
          <w:szCs w:val="28"/>
        </w:rPr>
        <w:t>охоплення</w:t>
      </w:r>
      <w:proofErr w:type="spellEnd"/>
      <w:r w:rsidRPr="00371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b/>
          <w:sz w:val="28"/>
          <w:szCs w:val="28"/>
        </w:rPr>
        <w:t>дітей</w:t>
      </w:r>
      <w:proofErr w:type="spellEnd"/>
      <w:r w:rsidRPr="00371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b/>
          <w:sz w:val="28"/>
          <w:szCs w:val="28"/>
        </w:rPr>
        <w:t>дошкільними</w:t>
      </w:r>
      <w:proofErr w:type="spellEnd"/>
      <w:r w:rsidRPr="00371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b/>
          <w:sz w:val="28"/>
          <w:szCs w:val="28"/>
        </w:rPr>
        <w:t>навчальними</w:t>
      </w:r>
      <w:proofErr w:type="spellEnd"/>
      <w:r w:rsidRPr="003717D1">
        <w:rPr>
          <w:rFonts w:ascii="Times New Roman" w:hAnsi="Times New Roman" w:cs="Times New Roman"/>
          <w:b/>
          <w:sz w:val="28"/>
          <w:szCs w:val="28"/>
        </w:rPr>
        <w:t xml:space="preserve"> закладами </w:t>
      </w:r>
    </w:p>
    <w:p w:rsidR="00C538D7" w:rsidRPr="00FB3BF0" w:rsidRDefault="003D61DB" w:rsidP="005502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="00C538D7" w:rsidRPr="003717D1">
        <w:rPr>
          <w:rFonts w:ascii="Times New Roman" w:hAnsi="Times New Roman" w:cs="Times New Roman"/>
          <w:b/>
          <w:sz w:val="28"/>
          <w:szCs w:val="28"/>
        </w:rPr>
        <w:t>-201</w:t>
      </w:r>
      <w:r w:rsidR="00C538D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C538D7" w:rsidRPr="00371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538D7" w:rsidRPr="003717D1">
        <w:rPr>
          <w:rFonts w:ascii="Times New Roman" w:hAnsi="Times New Roman" w:cs="Times New Roman"/>
          <w:b/>
          <w:sz w:val="28"/>
          <w:szCs w:val="28"/>
        </w:rPr>
        <w:t>роках</w:t>
      </w:r>
      <w:proofErr w:type="gramEnd"/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4480"/>
        <w:gridCol w:w="850"/>
        <w:gridCol w:w="850"/>
        <w:gridCol w:w="992"/>
        <w:gridCol w:w="1419"/>
      </w:tblGrid>
      <w:tr w:rsidR="003D61DB" w:rsidRPr="003717D1" w:rsidTr="00F94B41">
        <w:tc>
          <w:tcPr>
            <w:tcW w:w="590" w:type="dxa"/>
            <w:vMerge w:val="restart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480" w:type="dxa"/>
            <w:vMerge w:val="restart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дошкільного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закладу</w:t>
            </w: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gridSpan w:val="2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2411" w:type="dxa"/>
            <w:gridSpan w:val="2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</w:tr>
      <w:tr w:rsidR="003D61DB" w:rsidRPr="003717D1" w:rsidTr="00F94B41">
        <w:trPr>
          <w:trHeight w:val="322"/>
        </w:trPr>
        <w:tc>
          <w:tcPr>
            <w:tcW w:w="590" w:type="dxa"/>
            <w:vMerge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0" w:type="dxa"/>
            <w:vMerge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extDirection w:val="btLr"/>
          </w:tcPr>
          <w:p w:rsidR="003D61DB" w:rsidRPr="003717D1" w:rsidRDefault="003D61DB" w:rsidP="008247E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(1-6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років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extDirection w:val="btLr"/>
          </w:tcPr>
          <w:p w:rsidR="003D61DB" w:rsidRPr="003717D1" w:rsidRDefault="003D61DB" w:rsidP="008247E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Охоплено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дошкільною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освітою</w:t>
            </w:r>
            <w:proofErr w:type="spellEnd"/>
          </w:p>
        </w:tc>
        <w:tc>
          <w:tcPr>
            <w:tcW w:w="992" w:type="dxa"/>
            <w:textDirection w:val="btLr"/>
          </w:tcPr>
          <w:p w:rsidR="003D61DB" w:rsidRPr="003717D1" w:rsidRDefault="003D61DB" w:rsidP="008247E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(1-6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років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9" w:type="dxa"/>
            <w:textDirection w:val="btLr"/>
          </w:tcPr>
          <w:p w:rsidR="003D61DB" w:rsidRPr="003717D1" w:rsidRDefault="003D61DB" w:rsidP="008247E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Охоплено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дошкільною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освітою</w:t>
            </w:r>
            <w:proofErr w:type="spellEnd"/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Вільшанський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1419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Засульський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1419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Комишанський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419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Коровинський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  <w:tc>
          <w:tcPr>
            <w:tcW w:w="1419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Курманівський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419" w:type="dxa"/>
          </w:tcPr>
          <w:p w:rsidR="003D61DB" w:rsidRPr="00EF60E0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Іваницький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850" w:type="dxa"/>
          </w:tcPr>
          <w:p w:rsidR="003D61DB" w:rsidRPr="0090580C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1419" w:type="dxa"/>
          </w:tcPr>
          <w:p w:rsidR="003D61DB" w:rsidRPr="0090580C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  <w:tr w:rsidR="003D61DB" w:rsidRPr="0090580C" w:rsidTr="00F94B41">
        <w:trPr>
          <w:trHeight w:val="417"/>
        </w:trPr>
        <w:tc>
          <w:tcPr>
            <w:tcW w:w="59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8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1C0E">
              <w:rPr>
                <w:rFonts w:ascii="Times New Roman" w:hAnsi="Times New Roman" w:cs="Times New Roman"/>
                <w:sz w:val="28"/>
                <w:szCs w:val="28"/>
              </w:rPr>
              <w:t>Недригайлівський</w:t>
            </w:r>
            <w:proofErr w:type="spellEnd"/>
            <w:r w:rsidRPr="00DA1C0E">
              <w:rPr>
                <w:rFonts w:ascii="Times New Roman" w:hAnsi="Times New Roman" w:cs="Times New Roman"/>
                <w:sz w:val="28"/>
                <w:szCs w:val="28"/>
              </w:rPr>
              <w:t xml:space="preserve"> ДНЗ</w:t>
            </w:r>
          </w:p>
        </w:tc>
        <w:tc>
          <w:tcPr>
            <w:tcW w:w="850" w:type="dxa"/>
          </w:tcPr>
          <w:p w:rsidR="003D61DB" w:rsidRPr="00DA1C0E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</w:t>
            </w:r>
          </w:p>
        </w:tc>
        <w:tc>
          <w:tcPr>
            <w:tcW w:w="850" w:type="dxa"/>
          </w:tcPr>
          <w:p w:rsidR="003D61DB" w:rsidRPr="00DA1C0E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</w:p>
        </w:tc>
        <w:tc>
          <w:tcPr>
            <w:tcW w:w="992" w:type="dxa"/>
          </w:tcPr>
          <w:p w:rsidR="003D61DB" w:rsidRPr="00DA1C0E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309</w:t>
            </w:r>
          </w:p>
        </w:tc>
        <w:tc>
          <w:tcPr>
            <w:tcW w:w="1419" w:type="dxa"/>
          </w:tcPr>
          <w:p w:rsidR="003D61DB" w:rsidRPr="00DA1C0E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</w:p>
        </w:tc>
      </w:tr>
      <w:tr w:rsidR="003D61DB" w:rsidRPr="0090580C" w:rsidTr="00F94B41">
        <w:tc>
          <w:tcPr>
            <w:tcW w:w="59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C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8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1C0E">
              <w:rPr>
                <w:rFonts w:ascii="Times New Roman" w:hAnsi="Times New Roman" w:cs="Times New Roman"/>
                <w:sz w:val="28"/>
                <w:szCs w:val="28"/>
              </w:rPr>
              <w:t>Тернівський</w:t>
            </w:r>
            <w:proofErr w:type="spellEnd"/>
            <w:r w:rsidRPr="00DA1C0E">
              <w:rPr>
                <w:rFonts w:ascii="Times New Roman" w:hAnsi="Times New Roman" w:cs="Times New Roman"/>
                <w:sz w:val="28"/>
                <w:szCs w:val="28"/>
              </w:rPr>
              <w:t xml:space="preserve"> ДНЗ</w:t>
            </w:r>
          </w:p>
        </w:tc>
        <w:tc>
          <w:tcPr>
            <w:tcW w:w="850" w:type="dxa"/>
          </w:tcPr>
          <w:p w:rsidR="003D61DB" w:rsidRPr="00DA1C0E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  <w:tc>
          <w:tcPr>
            <w:tcW w:w="850" w:type="dxa"/>
          </w:tcPr>
          <w:p w:rsidR="003D61DB" w:rsidRPr="00DA1C0E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992" w:type="dxa"/>
          </w:tcPr>
          <w:p w:rsidR="003D61DB" w:rsidRPr="00DA1C0E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</w:t>
            </w:r>
          </w:p>
        </w:tc>
        <w:tc>
          <w:tcPr>
            <w:tcW w:w="1419" w:type="dxa"/>
          </w:tcPr>
          <w:p w:rsidR="003D61DB" w:rsidRPr="00DA1C0E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3D61DB" w:rsidRPr="0090580C" w:rsidTr="00F94B41">
        <w:tc>
          <w:tcPr>
            <w:tcW w:w="59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A1C0E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850" w:type="dxa"/>
          </w:tcPr>
          <w:p w:rsidR="003D61DB" w:rsidRPr="00794E93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806</w:t>
            </w:r>
          </w:p>
        </w:tc>
        <w:tc>
          <w:tcPr>
            <w:tcW w:w="850" w:type="dxa"/>
          </w:tcPr>
          <w:p w:rsidR="003D61DB" w:rsidRPr="00794E93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614</w:t>
            </w:r>
          </w:p>
        </w:tc>
        <w:tc>
          <w:tcPr>
            <w:tcW w:w="992" w:type="dxa"/>
          </w:tcPr>
          <w:p w:rsidR="003D61DB" w:rsidRPr="00794E93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774</w:t>
            </w:r>
          </w:p>
        </w:tc>
        <w:tc>
          <w:tcPr>
            <w:tcW w:w="1419" w:type="dxa"/>
          </w:tcPr>
          <w:p w:rsidR="003D61DB" w:rsidRPr="00794E93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588</w:t>
            </w:r>
          </w:p>
        </w:tc>
      </w:tr>
    </w:tbl>
    <w:p w:rsidR="00C538D7" w:rsidRPr="003717D1" w:rsidRDefault="00C538D7" w:rsidP="005502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17D1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навчально-методична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матеріально-технічна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база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сучасними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дитячими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меблями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комп’ютерної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3717D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717D1">
        <w:rPr>
          <w:rFonts w:ascii="Times New Roman" w:hAnsi="Times New Roman" w:cs="Times New Roman"/>
          <w:sz w:val="28"/>
          <w:szCs w:val="28"/>
        </w:rPr>
        <w:t>ідключення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>.</w:t>
      </w:r>
    </w:p>
    <w:p w:rsidR="00C538D7" w:rsidRPr="004E4F5F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  <w:t>У 201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у 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закладах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>539</w:t>
      </w:r>
      <w:r w:rsidRPr="003717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="004E4F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38D7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02DC" w:rsidRPr="005905AF" w:rsidRDefault="005502DC" w:rsidP="00C538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5502DC" w:rsidRDefault="00C538D7" w:rsidP="005502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7D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Мережа </w:t>
      </w:r>
      <w:proofErr w:type="spellStart"/>
      <w:r w:rsidRPr="003717D1">
        <w:rPr>
          <w:rFonts w:ascii="Times New Roman" w:hAnsi="Times New Roman" w:cs="Times New Roman"/>
          <w:b/>
          <w:sz w:val="28"/>
          <w:szCs w:val="28"/>
        </w:rPr>
        <w:t>учнів</w:t>
      </w:r>
      <w:proofErr w:type="spellEnd"/>
      <w:r w:rsidRPr="00371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b/>
          <w:sz w:val="28"/>
          <w:szCs w:val="28"/>
        </w:rPr>
        <w:t>загальноосвітніх</w:t>
      </w:r>
      <w:proofErr w:type="spellEnd"/>
      <w:r w:rsidRPr="00371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b/>
          <w:sz w:val="28"/>
          <w:szCs w:val="28"/>
        </w:rPr>
        <w:t>навчальних</w:t>
      </w:r>
      <w:proofErr w:type="spellEnd"/>
      <w:r w:rsidRPr="003717D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17D1">
        <w:rPr>
          <w:rFonts w:ascii="Times New Roman" w:hAnsi="Times New Roman" w:cs="Times New Roman"/>
          <w:b/>
          <w:sz w:val="28"/>
          <w:szCs w:val="28"/>
        </w:rPr>
        <w:t>закладі</w:t>
      </w:r>
      <w:proofErr w:type="gramStart"/>
      <w:r w:rsidRPr="003717D1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3717D1">
        <w:rPr>
          <w:rFonts w:ascii="Times New Roman" w:hAnsi="Times New Roman" w:cs="Times New Roman"/>
          <w:b/>
          <w:sz w:val="28"/>
          <w:szCs w:val="28"/>
        </w:rPr>
        <w:t xml:space="preserve"> до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C125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717D1">
        <w:rPr>
          <w:rFonts w:ascii="Times New Roman" w:hAnsi="Times New Roman" w:cs="Times New Roman"/>
          <w:b/>
          <w:sz w:val="28"/>
          <w:szCs w:val="28"/>
        </w:rPr>
        <w:t>року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1"/>
        <w:gridCol w:w="5520"/>
        <w:gridCol w:w="1554"/>
        <w:gridCol w:w="1555"/>
      </w:tblGrid>
      <w:tr w:rsidR="003D61DB" w:rsidRPr="003717D1" w:rsidTr="005502DC">
        <w:trPr>
          <w:trHeight w:val="822"/>
        </w:trPr>
        <w:tc>
          <w:tcPr>
            <w:tcW w:w="1001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закладу</w:t>
            </w:r>
          </w:p>
        </w:tc>
        <w:tc>
          <w:tcPr>
            <w:tcW w:w="1554" w:type="dxa"/>
          </w:tcPr>
          <w:p w:rsidR="003D61DB" w:rsidRPr="005905AF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555" w:type="dxa"/>
          </w:tcPr>
          <w:p w:rsidR="003D61DB" w:rsidRPr="005905AF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3D61DB" w:rsidRPr="003717D1" w:rsidTr="005502DC">
        <w:trPr>
          <w:trHeight w:val="419"/>
        </w:trPr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763F91" w:rsidRDefault="003D61DB" w:rsidP="008247E5">
            <w:pPr>
              <w:pStyle w:val="1"/>
              <w:rPr>
                <w:b/>
                <w:sz w:val="28"/>
                <w:szCs w:val="28"/>
              </w:rPr>
            </w:pPr>
            <w:r w:rsidRPr="00763F91">
              <w:rPr>
                <w:b/>
                <w:sz w:val="28"/>
                <w:szCs w:val="28"/>
              </w:rPr>
              <w:t>ЗОШ І-Ш ст.</w:t>
            </w:r>
          </w:p>
        </w:tc>
        <w:tc>
          <w:tcPr>
            <w:tcW w:w="1554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5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Вільшанська</w:t>
            </w:r>
            <w:proofErr w:type="spellEnd"/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189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190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Гринівськ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НВК: ЗОШ,ДНЗ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Козелянськ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НВК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Коровинська</w:t>
            </w:r>
            <w:proofErr w:type="spellEnd"/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205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205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520C94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Недригайлівська</w:t>
            </w:r>
            <w:proofErr w:type="spellEnd"/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544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609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520C94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Курманівська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філія 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Ч-Слобідська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філія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Маршалівська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філія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Іваницька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філія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Тернівська</w:t>
            </w:r>
            <w:proofErr w:type="spellEnd"/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269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265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Томашівськ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НВК: ЗОШ,ДНЗ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Хоружівськ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НВК: ЗОШ,ДНЗ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98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98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763F91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ЗОШ </w:t>
            </w:r>
            <w:proofErr w:type="gramStart"/>
            <w:r w:rsidRPr="00763F9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Pr="00763F9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763F91">
              <w:rPr>
                <w:rFonts w:ascii="Times New Roman" w:hAnsi="Times New Roman" w:cs="Times New Roman"/>
                <w:b/>
                <w:sz w:val="28"/>
                <w:szCs w:val="28"/>
              </w:rPr>
              <w:t>П ст.</w:t>
            </w:r>
          </w:p>
        </w:tc>
        <w:tc>
          <w:tcPr>
            <w:tcW w:w="1554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5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Деркачівськ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НВК: ЗОШ,ДНЗ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763F9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ЗОШ І </w:t>
            </w:r>
            <w:proofErr w:type="spellStart"/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ступеня</w:t>
            </w:r>
            <w:proofErr w:type="spellEnd"/>
          </w:p>
        </w:tc>
        <w:tc>
          <w:tcPr>
            <w:tcW w:w="1554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5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Комишанська</w:t>
            </w:r>
            <w:proofErr w:type="spellEnd"/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1539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1578</w:t>
            </w:r>
          </w:p>
        </w:tc>
      </w:tr>
    </w:tbl>
    <w:p w:rsidR="00C538D7" w:rsidRPr="0021695A" w:rsidRDefault="00C538D7" w:rsidP="005502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рівного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доступу до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якісної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учнівської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створено 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освітні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округи.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опорні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першу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забезпечуються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обладнанням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літературою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кваліфікованими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педагогічними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кадрами.</w:t>
      </w:r>
    </w:p>
    <w:p w:rsidR="00C538D7" w:rsidRPr="000F04C4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шкільних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округів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неможлива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Шкільний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автобус». </w:t>
      </w:r>
      <w:r w:rsidRPr="000F04C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організованим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F04C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04C4">
        <w:rPr>
          <w:rFonts w:ascii="Times New Roman" w:hAnsi="Times New Roman" w:cs="Times New Roman"/>
          <w:sz w:val="28"/>
          <w:szCs w:val="28"/>
        </w:rPr>
        <w:t>ідвезенням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та у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зворотному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напрямі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охоплено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4</w:t>
      </w:r>
      <w:r w:rsidRPr="000F04C4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0 (</w:t>
      </w:r>
      <w:r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Pr="000F04C4">
        <w:rPr>
          <w:rFonts w:ascii="Times New Roman" w:hAnsi="Times New Roman" w:cs="Times New Roman"/>
          <w:sz w:val="28"/>
          <w:szCs w:val="28"/>
        </w:rPr>
        <w:t xml:space="preserve">%)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сільських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межею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пішохідної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доступності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шкільними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автобусами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підвозиться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96</w:t>
      </w:r>
      <w:r w:rsidRPr="000F04C4">
        <w:rPr>
          <w:rFonts w:ascii="Times New Roman" w:hAnsi="Times New Roman" w:cs="Times New Roman"/>
          <w:sz w:val="28"/>
          <w:szCs w:val="28"/>
        </w:rPr>
        <w:t xml:space="preserve">%). Для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стовідсоткового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Шкільний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автобус»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4C4">
        <w:rPr>
          <w:rFonts w:ascii="Times New Roman" w:hAnsi="Times New Roman" w:cs="Times New Roman"/>
          <w:sz w:val="28"/>
          <w:szCs w:val="28"/>
        </w:rPr>
        <w:t>придбати</w:t>
      </w:r>
      <w:proofErr w:type="spellEnd"/>
      <w:r w:rsidRPr="000F04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0F04C4">
        <w:rPr>
          <w:rFonts w:ascii="Times New Roman" w:hAnsi="Times New Roman" w:cs="Times New Roman"/>
          <w:sz w:val="28"/>
          <w:szCs w:val="28"/>
        </w:rPr>
        <w:t xml:space="preserve"> автобус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F04C4">
        <w:rPr>
          <w:rFonts w:ascii="Times New Roman" w:hAnsi="Times New Roman" w:cs="Times New Roman"/>
          <w:sz w:val="28"/>
          <w:szCs w:val="28"/>
        </w:rPr>
        <w:t>.</w:t>
      </w:r>
    </w:p>
    <w:p w:rsidR="00C538D7" w:rsidRPr="0021695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Важливим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інструментом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доступу 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якісної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освітню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інформаційно-комунікаційних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Неодмінна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умова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оснащення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сучасною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комп’ютерною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технікою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комп’ютерними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комплексами).</w:t>
      </w:r>
    </w:p>
    <w:p w:rsidR="00400DBC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загальноосвітні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І-ІІІ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ступені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району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забезпечені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сучасною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комп’ютерною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технікою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показник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забезпеченості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r w:rsidRPr="0021695A">
        <w:rPr>
          <w:rFonts w:ascii="Times New Roman" w:hAnsi="Times New Roman" w:cs="Times New Roman"/>
          <w:sz w:val="28"/>
          <w:szCs w:val="28"/>
        </w:rPr>
        <w:lastRenderedPageBreak/>
        <w:t xml:space="preserve">І-ІІ, І-ІІІ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комп’юте</w:t>
      </w:r>
      <w:r>
        <w:rPr>
          <w:rFonts w:ascii="Times New Roman" w:hAnsi="Times New Roman" w:cs="Times New Roman"/>
          <w:sz w:val="28"/>
          <w:szCs w:val="28"/>
        </w:rPr>
        <w:t>рними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комплексами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63,6 </w:t>
      </w:r>
      <w:r w:rsidRPr="0021695A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потреби. </w:t>
      </w:r>
    </w:p>
    <w:p w:rsidR="00C538D7" w:rsidRPr="0021695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показник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обладнанням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 </w:t>
      </w:r>
      <w:r w:rsidR="00BE0B43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BE0B43">
        <w:rPr>
          <w:rFonts w:ascii="Times New Roman" w:hAnsi="Times New Roman" w:cs="Times New Roman"/>
          <w:sz w:val="28"/>
          <w:szCs w:val="28"/>
          <w:lang w:val="uk-UA"/>
        </w:rPr>
        <w:t xml:space="preserve">62 </w:t>
      </w:r>
      <w:r w:rsidRPr="00BE0B43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BE0B4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E0B43">
        <w:rPr>
          <w:rFonts w:ascii="Times New Roman" w:hAnsi="Times New Roman" w:cs="Times New Roman"/>
          <w:sz w:val="28"/>
          <w:szCs w:val="28"/>
        </w:rPr>
        <w:t xml:space="preserve"> потреби</w:t>
      </w:r>
      <w:r w:rsidRPr="0021695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недостатнім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особливо в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допрофільного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21695A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>ільного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>.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9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районному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 банку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Обдарованість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r w:rsidRPr="00794E93">
        <w:rPr>
          <w:rFonts w:ascii="Times New Roman" w:hAnsi="Times New Roman" w:cs="Times New Roman"/>
          <w:sz w:val="28"/>
          <w:szCs w:val="28"/>
        </w:rPr>
        <w:t>1</w:t>
      </w:r>
      <w:r w:rsidR="00794E9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94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4E93">
        <w:rPr>
          <w:rFonts w:ascii="Times New Roman" w:hAnsi="Times New Roman" w:cs="Times New Roman"/>
          <w:sz w:val="28"/>
          <w:szCs w:val="28"/>
        </w:rPr>
        <w:t>обдар</w:t>
      </w:r>
      <w:r w:rsidR="00794E93">
        <w:rPr>
          <w:rFonts w:ascii="Times New Roman" w:hAnsi="Times New Roman" w:cs="Times New Roman"/>
          <w:sz w:val="28"/>
          <w:szCs w:val="28"/>
          <w:lang w:val="uk-UA"/>
        </w:rPr>
        <w:t>ованих</w:t>
      </w:r>
      <w:proofErr w:type="spellEnd"/>
      <w:r w:rsidR="00794E93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Pr="00794E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4E93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794E93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794E93">
        <w:rPr>
          <w:rFonts w:ascii="Times New Roman" w:hAnsi="Times New Roman" w:cs="Times New Roman"/>
          <w:sz w:val="28"/>
          <w:szCs w:val="28"/>
        </w:rPr>
        <w:t>переможці</w:t>
      </w:r>
      <w:proofErr w:type="spellEnd"/>
      <w:r w:rsidRPr="00794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E93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Pr="00794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E93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учнівських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олімпіад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спортивних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змагань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слухачі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Сумського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академії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наук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вихованці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гуртків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позашкільних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закладі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1695A">
        <w:rPr>
          <w:rFonts w:ascii="Times New Roman" w:hAnsi="Times New Roman" w:cs="Times New Roman"/>
          <w:sz w:val="28"/>
          <w:szCs w:val="28"/>
        </w:rPr>
        <w:t>.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інтелектуально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обдарованої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щороку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проводяться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І-ІІ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учнівських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олімпіад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базових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 xml:space="preserve">Разом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актуальними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залишаються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нормативно-правового,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науково-методичного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обдарованою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молоддю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програмно-методичних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комплексів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1695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фахового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обдарованими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>.</w:t>
      </w:r>
    </w:p>
    <w:p w:rsidR="00C538D7" w:rsidRPr="0021695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закладами проводиться робота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якісного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1-4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сироти,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позбавлені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695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>іклування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малозабезпечених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стовідсотково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охоплені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гарячим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харчуванням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минулим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роком 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зросли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охоплення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гарячим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харчуванням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5-11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90 </w:t>
      </w:r>
      <w:r>
        <w:rPr>
          <w:rFonts w:ascii="Times New Roman" w:hAnsi="Times New Roman" w:cs="Times New Roman"/>
          <w:sz w:val="28"/>
          <w:szCs w:val="28"/>
        </w:rPr>
        <w:t xml:space="preserve">%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95 </w:t>
      </w:r>
      <w:r w:rsidRPr="0021695A">
        <w:rPr>
          <w:rFonts w:ascii="Times New Roman" w:hAnsi="Times New Roman" w:cs="Times New Roman"/>
          <w:sz w:val="28"/>
          <w:szCs w:val="28"/>
        </w:rPr>
        <w:t>%).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Уживаються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переоснащення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харчоблоків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сучасним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холодильним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технологічним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обладнанням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через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недостатнє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технологічного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бюджетах не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Модернізація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харчоблоків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їдалень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 в основному, за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спонсорських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кошті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1695A">
        <w:rPr>
          <w:rFonts w:ascii="Times New Roman" w:hAnsi="Times New Roman" w:cs="Times New Roman"/>
          <w:sz w:val="28"/>
          <w:szCs w:val="28"/>
        </w:rPr>
        <w:t>.</w:t>
      </w:r>
    </w:p>
    <w:p w:rsidR="00C538D7" w:rsidRPr="00C2520B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закладах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району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73 %.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Гострою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проблема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кабінетів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закладі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району. 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моніторингу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кадрового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практичними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психологами, </w:t>
      </w:r>
      <w:proofErr w:type="spellStart"/>
      <w:proofErr w:type="gramStart"/>
      <w:r w:rsidRPr="0021695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>іальними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педагогами, у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щороку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збільшується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>.</w:t>
      </w:r>
    </w:p>
    <w:p w:rsidR="00C538D7" w:rsidRPr="00E829FD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9F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E829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E829F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E829FD">
        <w:rPr>
          <w:rFonts w:ascii="Times New Roman" w:hAnsi="Times New Roman" w:cs="Times New Roman"/>
          <w:sz w:val="28"/>
          <w:szCs w:val="28"/>
        </w:rPr>
        <w:t xml:space="preserve"> типах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E829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829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Pr="00E829FD">
        <w:rPr>
          <w:rFonts w:ascii="Times New Roman" w:hAnsi="Times New Roman" w:cs="Times New Roman"/>
          <w:sz w:val="28"/>
          <w:szCs w:val="28"/>
        </w:rPr>
        <w:t xml:space="preserve"> 2</w:t>
      </w:r>
      <w:r w:rsidRPr="00E829F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829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спеціалі</w:t>
      </w:r>
      <w:proofErr w:type="gramStart"/>
      <w:r w:rsidRPr="00E829FD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E829FD">
        <w:rPr>
          <w:rFonts w:ascii="Times New Roman" w:hAnsi="Times New Roman" w:cs="Times New Roman"/>
          <w:sz w:val="28"/>
          <w:szCs w:val="28"/>
        </w:rPr>
        <w:t xml:space="preserve"> (1</w:t>
      </w:r>
      <w:r w:rsidRPr="00E829F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829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Pr="00E829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психологів</w:t>
      </w:r>
      <w:proofErr w:type="spellEnd"/>
      <w:r w:rsidRPr="00E829FD">
        <w:rPr>
          <w:rFonts w:ascii="Times New Roman" w:hAnsi="Times New Roman" w:cs="Times New Roman"/>
          <w:sz w:val="28"/>
          <w:szCs w:val="28"/>
        </w:rPr>
        <w:t xml:space="preserve"> та </w:t>
      </w:r>
      <w:r w:rsidRPr="00E829F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E829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соціал</w:t>
      </w:r>
      <w:r>
        <w:rPr>
          <w:rFonts w:ascii="Times New Roman" w:hAnsi="Times New Roman" w:cs="Times New Roman"/>
          <w:sz w:val="28"/>
          <w:szCs w:val="28"/>
        </w:rPr>
        <w:t>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94,4 </w:t>
      </w:r>
      <w:r w:rsidRPr="00E829FD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E829F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829FD">
        <w:rPr>
          <w:rFonts w:ascii="Times New Roman" w:hAnsi="Times New Roman" w:cs="Times New Roman"/>
          <w:sz w:val="28"/>
          <w:szCs w:val="28"/>
        </w:rPr>
        <w:t xml:space="preserve"> потреби. 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Необхідною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умовою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окремого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більшість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виді</w:t>
      </w:r>
      <w:proofErr w:type="gramStart"/>
      <w:r w:rsidRPr="0021695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утрачають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будь-який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сенс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Керівниками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проводиться робота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психологічних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кабінеті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Станом на 01.01.201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E70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2A4E70">
        <w:rPr>
          <w:rFonts w:ascii="Times New Roman" w:hAnsi="Times New Roman" w:cs="Times New Roman"/>
          <w:sz w:val="28"/>
          <w:szCs w:val="28"/>
        </w:rPr>
        <w:t xml:space="preserve"> </w:t>
      </w:r>
      <w:r w:rsidR="002A4E7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A4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E70">
        <w:rPr>
          <w:rFonts w:ascii="Times New Roman" w:hAnsi="Times New Roman" w:cs="Times New Roman"/>
          <w:sz w:val="28"/>
          <w:szCs w:val="28"/>
        </w:rPr>
        <w:t>психологів</w:t>
      </w:r>
      <w:proofErr w:type="spellEnd"/>
      <w:r w:rsidRPr="002A4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E70">
        <w:rPr>
          <w:rFonts w:ascii="Times New Roman" w:hAnsi="Times New Roman" w:cs="Times New Roman"/>
          <w:sz w:val="28"/>
          <w:szCs w:val="28"/>
        </w:rPr>
        <w:t>заб</w:t>
      </w:r>
      <w:r w:rsidR="002A4E70">
        <w:rPr>
          <w:rFonts w:ascii="Times New Roman" w:hAnsi="Times New Roman" w:cs="Times New Roman"/>
          <w:sz w:val="28"/>
          <w:szCs w:val="28"/>
        </w:rPr>
        <w:t>езпечені</w:t>
      </w:r>
      <w:proofErr w:type="spellEnd"/>
      <w:r w:rsidR="002A4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E70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="002A4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E70">
        <w:rPr>
          <w:rFonts w:ascii="Times New Roman" w:hAnsi="Times New Roman" w:cs="Times New Roman"/>
          <w:sz w:val="28"/>
          <w:szCs w:val="28"/>
        </w:rPr>
        <w:t>кабінетами</w:t>
      </w:r>
      <w:proofErr w:type="spellEnd"/>
      <w:r w:rsidR="002A4E70">
        <w:rPr>
          <w:rFonts w:ascii="Times New Roman" w:hAnsi="Times New Roman" w:cs="Times New Roman"/>
          <w:sz w:val="28"/>
          <w:szCs w:val="28"/>
        </w:rPr>
        <w:t xml:space="preserve">. </w:t>
      </w:r>
      <w:r w:rsidR="002A4E70">
        <w:rPr>
          <w:rFonts w:ascii="Times New Roman" w:hAnsi="Times New Roman" w:cs="Times New Roman"/>
          <w:sz w:val="28"/>
          <w:szCs w:val="28"/>
          <w:lang w:val="uk-UA"/>
        </w:rPr>
        <w:t xml:space="preserve">В усіх </w:t>
      </w:r>
      <w:r w:rsidRPr="002A4E70">
        <w:rPr>
          <w:rFonts w:ascii="Times New Roman" w:hAnsi="Times New Roman" w:cs="Times New Roman"/>
          <w:sz w:val="28"/>
          <w:szCs w:val="28"/>
        </w:rPr>
        <w:t xml:space="preserve"> закладах </w:t>
      </w:r>
      <w:proofErr w:type="spellStart"/>
      <w:r w:rsidRPr="002A4E70">
        <w:rPr>
          <w:rFonts w:ascii="Times New Roman" w:hAnsi="Times New Roman" w:cs="Times New Roman"/>
          <w:sz w:val="28"/>
          <w:szCs w:val="28"/>
        </w:rPr>
        <w:t>обладнані</w:t>
      </w:r>
      <w:proofErr w:type="spellEnd"/>
      <w:r w:rsidRPr="002A4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E70">
        <w:rPr>
          <w:rFonts w:ascii="Times New Roman" w:hAnsi="Times New Roman" w:cs="Times New Roman"/>
          <w:sz w:val="28"/>
          <w:szCs w:val="28"/>
        </w:rPr>
        <w:t>робочі</w:t>
      </w:r>
      <w:proofErr w:type="spellEnd"/>
      <w:r w:rsidRPr="002A4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4E7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2A4E70">
        <w:rPr>
          <w:rFonts w:ascii="Times New Roman" w:hAnsi="Times New Roman" w:cs="Times New Roman"/>
          <w:sz w:val="28"/>
          <w:szCs w:val="28"/>
        </w:rPr>
        <w:t>.</w:t>
      </w:r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61DB">
        <w:rPr>
          <w:rFonts w:ascii="Times New Roman" w:hAnsi="Times New Roman" w:cs="Times New Roman"/>
          <w:sz w:val="28"/>
          <w:szCs w:val="28"/>
        </w:rPr>
        <w:lastRenderedPageBreak/>
        <w:t xml:space="preserve">За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поліпшився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якісний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склад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Базову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1DB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1D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3D61DB">
        <w:rPr>
          <w:rFonts w:ascii="Times New Roman" w:hAnsi="Times New Roman" w:cs="Times New Roman"/>
          <w:sz w:val="28"/>
          <w:szCs w:val="28"/>
        </w:rPr>
        <w:t xml:space="preserve"> 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 xml:space="preserve">1,8 </w:t>
      </w:r>
      <w:r w:rsidRPr="003D61DB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– 9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D61DB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DB">
        <w:rPr>
          <w:rFonts w:ascii="Times New Roman" w:hAnsi="Times New Roman" w:cs="Times New Roman"/>
          <w:sz w:val="28"/>
          <w:szCs w:val="28"/>
        </w:rPr>
        <w:t>закладі</w:t>
      </w:r>
      <w:proofErr w:type="gramStart"/>
      <w:r w:rsidRPr="003D61D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D61DB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FB3BF0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C538D7" w:rsidRDefault="00C538D7" w:rsidP="005502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95A">
        <w:rPr>
          <w:rFonts w:ascii="Times New Roman" w:hAnsi="Times New Roman" w:cs="Times New Roman"/>
          <w:sz w:val="28"/>
          <w:szCs w:val="28"/>
        </w:rPr>
        <w:t xml:space="preserve">Разом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ураховуючи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реформування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упровадження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навчально-виховний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інформаційно-комунікаційних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інноваційних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модернізації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proofErr w:type="gramStart"/>
      <w:r w:rsidRPr="0021695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695A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перепідготовки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695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1695A">
        <w:rPr>
          <w:rFonts w:ascii="Times New Roman" w:hAnsi="Times New Roman" w:cs="Times New Roman"/>
          <w:sz w:val="28"/>
          <w:szCs w:val="28"/>
        </w:rPr>
        <w:t>.</w:t>
      </w:r>
    </w:p>
    <w:p w:rsidR="005502DC" w:rsidRDefault="005502DC" w:rsidP="00550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5502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 xml:space="preserve">3. Мета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C538D7" w:rsidRPr="00FB3BF0" w:rsidRDefault="00C538D7" w:rsidP="005502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Default="00C538D7" w:rsidP="005502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закладах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ійкого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інноваційного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умов для </w:t>
      </w:r>
      <w:r w:rsidR="003D61DB">
        <w:rPr>
          <w:rFonts w:ascii="Times New Roman" w:hAnsi="Times New Roman" w:cs="Times New Roman"/>
          <w:sz w:val="28"/>
          <w:szCs w:val="28"/>
        </w:rPr>
        <w:t xml:space="preserve">переходу до нового </w:t>
      </w:r>
      <w:proofErr w:type="spellStart"/>
      <w:r w:rsidR="003D61DB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1D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3D61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4F5F" w:rsidRPr="003D61DB" w:rsidRDefault="004E4F5F" w:rsidP="003D61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 xml:space="preserve">4. Шляхи та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засоби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розв’язання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проблем, </w:t>
      </w:r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обсяги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джерела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фінансування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, строки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інноваційного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переходу на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учнівської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здорового способу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за одним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кількома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іоритетними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упровадження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комп’ютеризації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ідключенням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Інтернету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ідходу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навчально-виховного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спрямований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активне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конструктивне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входження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суспільні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високого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самореалізації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упровадження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інформаційно-комунікаційних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комп’ютерними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комплексами та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системними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прикладними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програмними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продуктами;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загальноосвітнім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навчальним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закладам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швидкісного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доступу до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Інтернету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ід’єднання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доступу до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івного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доступу до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якісної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учнівської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обдарованою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молоддю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психологічного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супроводу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навчально-виховного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усі</w:t>
      </w:r>
      <w:proofErr w:type="gramStart"/>
      <w:r w:rsidRPr="00FB3BF0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 w:rsidRPr="00FB3BF0">
        <w:rPr>
          <w:rFonts w:ascii="Times New Roman" w:hAnsi="Times New Roman" w:cs="Times New Roman"/>
          <w:sz w:val="28"/>
          <w:szCs w:val="28"/>
        </w:rPr>
        <w:t xml:space="preserve"> ланках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перепідготовки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кадрів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lastRenderedPageBreak/>
        <w:t>Загальний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3BF0">
        <w:rPr>
          <w:rFonts w:ascii="Times New Roman" w:hAnsi="Times New Roman" w:cs="Times New Roman"/>
          <w:sz w:val="28"/>
          <w:szCs w:val="28"/>
        </w:rPr>
        <w:t>становить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237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: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обласного бюджету – 3000,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00 тисяч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гривень, державного бюджету – 30 000,0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яч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гривень,  </w:t>
      </w:r>
      <w:r w:rsidRPr="00FB3BF0">
        <w:rPr>
          <w:rFonts w:ascii="Times New Roman" w:hAnsi="Times New Roman" w:cs="Times New Roman"/>
          <w:sz w:val="28"/>
          <w:szCs w:val="28"/>
        </w:rPr>
        <w:t xml:space="preserve">районного бюджету 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 xml:space="preserve"> 3125,0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B3BF0">
        <w:rPr>
          <w:rFonts w:ascii="Times New Roman" w:hAnsi="Times New Roman" w:cs="Times New Roman"/>
          <w:sz w:val="28"/>
          <w:szCs w:val="28"/>
          <w:shd w:val="clear" w:color="auto" w:fill="FFFF99"/>
        </w:rPr>
        <w:t xml:space="preserve"> </w:t>
      </w:r>
      <w:r w:rsidRPr="00FB3BF0">
        <w:rPr>
          <w:rFonts w:ascii="Times New Roman" w:hAnsi="Times New Roman" w:cs="Times New Roman"/>
          <w:sz w:val="28"/>
          <w:szCs w:val="28"/>
        </w:rPr>
        <w:t>ти</w:t>
      </w:r>
      <w:r w:rsidR="00E903CD"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="00E903CD">
        <w:rPr>
          <w:rFonts w:ascii="Times New Roman" w:hAnsi="Times New Roman" w:cs="Times New Roman"/>
          <w:sz w:val="28"/>
          <w:szCs w:val="28"/>
          <w:lang w:val="uk-UA"/>
        </w:rPr>
        <w:t>яч</w:t>
      </w:r>
      <w:proofErr w:type="spellEnd"/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="004E4F5F">
        <w:rPr>
          <w:rFonts w:ascii="Times New Roman" w:hAnsi="Times New Roman" w:cs="Times New Roman"/>
          <w:sz w:val="28"/>
          <w:szCs w:val="28"/>
        </w:rPr>
        <w:t>ривень</w:t>
      </w:r>
      <w:proofErr w:type="spellEnd"/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бюджету сільських та селищних рад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2,00 тисяч гривень,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1D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1DB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="003D6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1D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3D61DB">
        <w:rPr>
          <w:rFonts w:ascii="Times New Roman" w:hAnsi="Times New Roman" w:cs="Times New Roman"/>
          <w:sz w:val="28"/>
          <w:szCs w:val="28"/>
        </w:rPr>
        <w:t xml:space="preserve">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– 110,00 тисяч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 в межах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району.</w:t>
      </w:r>
    </w:p>
    <w:p w:rsidR="00C538D7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Т</w:t>
      </w:r>
      <w:r w:rsidR="00794E93">
        <w:rPr>
          <w:rFonts w:ascii="Times New Roman" w:hAnsi="Times New Roman" w:cs="Times New Roman"/>
          <w:sz w:val="28"/>
          <w:szCs w:val="28"/>
        </w:rPr>
        <w:t>ермін</w:t>
      </w:r>
      <w:proofErr w:type="spellEnd"/>
      <w:r w:rsidR="00794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4E93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794E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4E9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794E9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94E93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794E93">
        <w:rPr>
          <w:rFonts w:ascii="Times New Roman" w:hAnsi="Times New Roman" w:cs="Times New Roman"/>
          <w:sz w:val="28"/>
          <w:szCs w:val="28"/>
        </w:rPr>
        <w:t xml:space="preserve"> 201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B3BF0">
        <w:rPr>
          <w:rFonts w:ascii="Times New Roman" w:hAnsi="Times New Roman" w:cs="Times New Roman"/>
          <w:sz w:val="28"/>
          <w:szCs w:val="28"/>
        </w:rPr>
        <w:t>-201</w:t>
      </w:r>
      <w:r w:rsidR="00794E9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B3BF0">
        <w:rPr>
          <w:rFonts w:ascii="Times New Roman" w:hAnsi="Times New Roman" w:cs="Times New Roman"/>
          <w:sz w:val="28"/>
          <w:szCs w:val="28"/>
        </w:rPr>
        <w:t xml:space="preserve"> роки.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Перелік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завдань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захо</w:t>
      </w:r>
      <w:proofErr w:type="gramStart"/>
      <w:r w:rsidRPr="00FB3BF0">
        <w:rPr>
          <w:rFonts w:ascii="Times New Roman" w:hAnsi="Times New Roman" w:cs="Times New Roman"/>
          <w:b/>
          <w:sz w:val="28"/>
          <w:szCs w:val="28"/>
        </w:rPr>
        <w:t>дів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Прог</w:t>
      </w:r>
      <w:proofErr w:type="gramEnd"/>
      <w:r w:rsidRPr="00FB3BF0">
        <w:rPr>
          <w:rFonts w:ascii="Times New Roman" w:hAnsi="Times New Roman" w:cs="Times New Roman"/>
          <w:b/>
          <w:sz w:val="28"/>
          <w:szCs w:val="28"/>
        </w:rPr>
        <w:t>рами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результативні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показники</w:t>
      </w:r>
      <w:proofErr w:type="spellEnd"/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proofErr w:type="gramStart"/>
      <w:r w:rsidRPr="00FB3BF0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учнівської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усього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в закладах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конституційних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гарантій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доступності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навчально-методичної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закладі</w:t>
      </w:r>
      <w:proofErr w:type="gramStart"/>
      <w:r w:rsidRPr="00FB3BF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модернізація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методичної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природничо-математичних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оснащення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інформаційно-комунікаційних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округі</w:t>
      </w:r>
      <w:proofErr w:type="gramStart"/>
      <w:r w:rsidRPr="00FB3BF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потреб 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обдарованої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психологічного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супроводу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навчально-виховного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>;</w:t>
      </w:r>
    </w:p>
    <w:p w:rsidR="00C538D7" w:rsidRPr="00DE0174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упровадження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B3B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3BF0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кваліфікацій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педагогі</w:t>
      </w:r>
      <w:r w:rsidR="00DE0174">
        <w:rPr>
          <w:rFonts w:ascii="Times New Roman" w:hAnsi="Times New Roman" w:cs="Times New Roman"/>
          <w:sz w:val="28"/>
          <w:szCs w:val="28"/>
        </w:rPr>
        <w:t>чних</w:t>
      </w:r>
      <w:proofErr w:type="spellEnd"/>
      <w:r w:rsidR="00DE0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0174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DE01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38D7" w:rsidRDefault="00C538D7" w:rsidP="00C538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Напрями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та заходи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C538D7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та заходи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, строки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очікуваний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результат наведено в </w:t>
      </w:r>
      <w:proofErr w:type="spellStart"/>
      <w:r w:rsidRPr="00FB3BF0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FB3BF0">
        <w:rPr>
          <w:rFonts w:ascii="Times New Roman" w:hAnsi="Times New Roman" w:cs="Times New Roman"/>
          <w:sz w:val="28"/>
          <w:szCs w:val="28"/>
        </w:rPr>
        <w:t xml:space="preserve"> </w:t>
      </w:r>
      <w:r w:rsidR="00DE0174">
        <w:rPr>
          <w:rFonts w:ascii="Times New Roman" w:hAnsi="Times New Roman" w:cs="Times New Roman"/>
          <w:sz w:val="28"/>
          <w:szCs w:val="28"/>
          <w:lang w:val="uk-UA"/>
        </w:rPr>
        <w:t>до Програми</w:t>
      </w:r>
      <w:r w:rsidRPr="00FB3BF0">
        <w:rPr>
          <w:rFonts w:ascii="Times New Roman" w:hAnsi="Times New Roman" w:cs="Times New Roman"/>
          <w:sz w:val="28"/>
          <w:szCs w:val="28"/>
        </w:rPr>
        <w:t>.</w:t>
      </w: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Координація</w:t>
      </w:r>
      <w:proofErr w:type="spellEnd"/>
      <w:r w:rsidRPr="00FB3BF0">
        <w:rPr>
          <w:rFonts w:ascii="Times New Roman" w:hAnsi="Times New Roman" w:cs="Times New Roman"/>
          <w:b/>
          <w:sz w:val="28"/>
          <w:szCs w:val="28"/>
        </w:rPr>
        <w:t xml:space="preserve"> та контроль за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="004E4F5F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Pr="00FB3B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BF0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C538D7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sz w:val="28"/>
          <w:szCs w:val="28"/>
        </w:rPr>
        <w:tab/>
      </w:r>
    </w:p>
    <w:p w:rsidR="00C538D7" w:rsidRPr="0032113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13A">
        <w:rPr>
          <w:rFonts w:ascii="Times New Roman" w:hAnsi="Times New Roman" w:cs="Times New Roman"/>
          <w:sz w:val="28"/>
          <w:szCs w:val="28"/>
          <w:lang w:val="uk-UA"/>
        </w:rPr>
        <w:t>Координацію та контроль за виконання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здійснює</w:t>
      </w:r>
      <w:r w:rsidR="0032113A">
        <w:rPr>
          <w:rFonts w:ascii="Times New Roman" w:hAnsi="Times New Roman" w:cs="Times New Roman"/>
          <w:sz w:val="28"/>
          <w:szCs w:val="28"/>
          <w:lang w:val="uk-UA"/>
        </w:rPr>
        <w:t xml:space="preserve"> відділ освіти </w:t>
      </w:r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113A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адміністрації.</w:t>
      </w:r>
    </w:p>
    <w:p w:rsidR="00C538D7" w:rsidRPr="0032113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13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113A">
        <w:rPr>
          <w:rFonts w:ascii="Times New Roman" w:hAnsi="Times New Roman" w:cs="Times New Roman"/>
          <w:sz w:val="28"/>
          <w:szCs w:val="28"/>
          <w:lang w:val="uk-UA"/>
        </w:rPr>
        <w:t xml:space="preserve">Сільські та селищні голови </w:t>
      </w:r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надають відділу освіти </w:t>
      </w:r>
      <w:proofErr w:type="spellStart"/>
      <w:r w:rsidRPr="0032113A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інформацію про виконання Програми щороку до 20 грудня.</w:t>
      </w:r>
    </w:p>
    <w:p w:rsidR="00C538D7" w:rsidRPr="0032113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1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Узагальнену інформацію про стан виконання Програми </w:t>
      </w:r>
      <w:r w:rsidR="0032113A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</w:t>
      </w:r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113A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надає до 10 січня на розгляд заступнику голови </w:t>
      </w:r>
      <w:proofErr w:type="spellStart"/>
      <w:r w:rsidRPr="0032113A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відповідно до розподілу обов’язків та </w:t>
      </w:r>
      <w:proofErr w:type="spellStart"/>
      <w:r w:rsidRPr="0032113A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районній раді.</w:t>
      </w:r>
    </w:p>
    <w:p w:rsidR="005502DC" w:rsidRDefault="005502DC" w:rsidP="005502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Default="00C538D7" w:rsidP="005502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8.</w:t>
      </w:r>
      <w:r w:rsidR="00581A96">
        <w:rPr>
          <w:rFonts w:ascii="Times New Roman" w:hAnsi="Times New Roman" w:cs="Times New Roman"/>
          <w:b/>
          <w:sz w:val="28"/>
          <w:szCs w:val="28"/>
          <w:lang w:val="uk-UA"/>
        </w:rPr>
        <w:t>Результативні показники виконання Програми</w:t>
      </w:r>
    </w:p>
    <w:p w:rsidR="00C538D7" w:rsidRPr="007C2322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9982" w:type="dxa"/>
        <w:tblInd w:w="-318" w:type="dxa"/>
        <w:tblLook w:val="04A0"/>
      </w:tblPr>
      <w:tblGrid>
        <w:gridCol w:w="939"/>
        <w:gridCol w:w="6536"/>
        <w:gridCol w:w="1095"/>
        <w:gridCol w:w="1412"/>
      </w:tblGrid>
      <w:tr w:rsidR="00581A96" w:rsidRPr="007C2322" w:rsidTr="00581A96">
        <w:trPr>
          <w:trHeight w:val="330"/>
        </w:trPr>
        <w:tc>
          <w:tcPr>
            <w:tcW w:w="939" w:type="dxa"/>
            <w:vMerge w:val="restart"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536" w:type="dxa"/>
            <w:vMerge w:val="restart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2507" w:type="dxa"/>
            <w:gridSpan w:val="2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Роки </w:t>
            </w:r>
          </w:p>
        </w:tc>
      </w:tr>
      <w:tr w:rsidR="00581A96" w:rsidRPr="007C2322" w:rsidTr="00581A96">
        <w:trPr>
          <w:trHeight w:val="315"/>
        </w:trPr>
        <w:tc>
          <w:tcPr>
            <w:tcW w:w="939" w:type="dxa"/>
            <w:vMerge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36" w:type="dxa"/>
            <w:vMerge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</w:tr>
      <w:tr w:rsidR="00581A96" w:rsidRPr="007C2322" w:rsidTr="00581A96">
        <w:trPr>
          <w:trHeight w:val="315"/>
        </w:trPr>
        <w:tc>
          <w:tcPr>
            <w:tcW w:w="939" w:type="dxa"/>
            <w:vMerge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36" w:type="dxa"/>
            <w:vMerge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412" w:type="dxa"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</w:tr>
      <w:tr w:rsidR="00581A96" w:rsidTr="00581A96">
        <w:trPr>
          <w:trHeight w:val="285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536" w:type="dxa"/>
          </w:tcPr>
          <w:p w:rsidR="00581A96" w:rsidRPr="00751F6E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Охоплення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дошкільною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освітою</w:t>
            </w:r>
            <w:proofErr w:type="spellEnd"/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94,6</w:t>
            </w:r>
          </w:p>
        </w:tc>
      </w:tr>
      <w:tr w:rsidR="00581A96" w:rsidTr="00581A96">
        <w:trPr>
          <w:trHeight w:val="621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Оснащення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дошкільних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навчальних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комп’ютерною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технікою</w:t>
            </w:r>
            <w:proofErr w:type="spellEnd"/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581A96" w:rsidRPr="001E21A9" w:rsidTr="00581A96">
        <w:trPr>
          <w:trHeight w:val="711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ідключення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дошкільних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навчальних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мережі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  <w:proofErr w:type="spellEnd"/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581A96" w:rsidTr="00581A96">
        <w:trPr>
          <w:trHeight w:val="990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Оснащення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загальноосвітніх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навчальних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І-ІІ, І-ІІІ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ступенів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навчальними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комп’ютерними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комплексами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63,8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64,2</w:t>
            </w:r>
          </w:p>
        </w:tc>
      </w:tr>
      <w:tr w:rsidR="00581A96" w:rsidRPr="003D61DB" w:rsidTr="00581A96">
        <w:trPr>
          <w:trHeight w:val="707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Підключення загальноосвітніх навчальних закладів І-ІІ,    І-ІІІ ступенів до Інтернету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581A96" w:rsidTr="00581A96">
        <w:trPr>
          <w:trHeight w:val="1246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ідвезення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учнів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сільських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шкіл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проживають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межею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пішохідної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доступності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, до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місць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навчання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та у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зворотному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напрямку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шкільними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автобусами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96,5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97,3</w:t>
            </w:r>
          </w:p>
        </w:tc>
      </w:tr>
      <w:tr w:rsidR="00581A96" w:rsidTr="00581A96">
        <w:trPr>
          <w:trHeight w:val="992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загальноосвітніх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навчальних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навчальним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обладнанням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природничо-математичних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технологічних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дисциплін</w:t>
            </w:r>
            <w:proofErr w:type="spellEnd"/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78,3</w:t>
            </w:r>
          </w:p>
        </w:tc>
      </w:tr>
      <w:tr w:rsidR="00581A96" w:rsidTr="00581A96">
        <w:trPr>
          <w:trHeight w:val="992"/>
        </w:trPr>
        <w:tc>
          <w:tcPr>
            <w:tcW w:w="939" w:type="dxa"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навчальних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закладі</w:t>
            </w:r>
            <w:proofErr w:type="gram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81A96" w:rsidRPr="001E21A9" w:rsidRDefault="00581A96" w:rsidP="008247E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практичними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психологами</w:t>
            </w:r>
          </w:p>
          <w:p w:rsidR="00581A96" w:rsidRPr="001E21A9" w:rsidRDefault="00581A96" w:rsidP="008247E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іальним</w:t>
            </w:r>
            <w:proofErr w:type="spellEnd"/>
            <w:r w:rsidRPr="001E21A9">
              <w:rPr>
                <w:rFonts w:ascii="Times New Roman" w:hAnsi="Times New Roman" w:cs="Times New Roman"/>
                <w:sz w:val="28"/>
                <w:szCs w:val="28"/>
              </w:rPr>
              <w:t xml:space="preserve"> педагогами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32113A" w:rsidRDefault="0032113A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1F6E" w:rsidRDefault="00DE0174" w:rsidP="00DE017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="00751F6E" w:rsidRPr="00DE0174">
        <w:rPr>
          <w:rFonts w:ascii="Times New Roman" w:hAnsi="Times New Roman" w:cs="Times New Roman"/>
          <w:b/>
          <w:sz w:val="28"/>
          <w:szCs w:val="28"/>
          <w:lang w:val="uk-UA"/>
        </w:rPr>
        <w:t>Ресурсне забезпечення Програми</w:t>
      </w:r>
    </w:p>
    <w:p w:rsidR="00DE0174" w:rsidRPr="00DE0174" w:rsidRDefault="00DE0174" w:rsidP="00DE017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0055" w:type="dxa"/>
        <w:tblInd w:w="-318" w:type="dxa"/>
        <w:tblLook w:val="04A0"/>
      </w:tblPr>
      <w:tblGrid>
        <w:gridCol w:w="5388"/>
        <w:gridCol w:w="1416"/>
        <w:gridCol w:w="1280"/>
        <w:gridCol w:w="1971"/>
      </w:tblGrid>
      <w:tr w:rsidR="00581A96" w:rsidRPr="00751F6E" w:rsidTr="00F94B41">
        <w:trPr>
          <w:trHeight w:val="555"/>
        </w:trPr>
        <w:tc>
          <w:tcPr>
            <w:tcW w:w="5388" w:type="dxa"/>
            <w:vMerge w:val="restart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коштів, що пропонується залучити на виконання Програми </w:t>
            </w:r>
          </w:p>
        </w:tc>
        <w:tc>
          <w:tcPr>
            <w:tcW w:w="2696" w:type="dxa"/>
            <w:gridSpan w:val="2"/>
          </w:tcPr>
          <w:p w:rsidR="00581A96" w:rsidRPr="00751F6E" w:rsidRDefault="00581A96" w:rsidP="00751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1971" w:type="dxa"/>
            <w:vMerge w:val="restart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Усього витрати на виконання програми </w:t>
            </w:r>
          </w:p>
        </w:tc>
      </w:tr>
      <w:tr w:rsidR="00581A96" w:rsidRPr="00751F6E" w:rsidTr="00F94B41">
        <w:trPr>
          <w:trHeight w:val="365"/>
        </w:trPr>
        <w:tc>
          <w:tcPr>
            <w:tcW w:w="5388" w:type="dxa"/>
            <w:vMerge/>
          </w:tcPr>
          <w:p w:rsidR="00581A96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6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280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971" w:type="dxa"/>
            <w:vMerge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1A96" w:rsidRPr="00751F6E" w:rsidTr="00F94B41">
        <w:tc>
          <w:tcPr>
            <w:tcW w:w="5388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ресурсів усього, у тому числі: </w:t>
            </w:r>
          </w:p>
        </w:tc>
        <w:tc>
          <w:tcPr>
            <w:tcW w:w="1416" w:type="dxa"/>
          </w:tcPr>
          <w:p w:rsidR="00581A96" w:rsidRPr="00751F6E" w:rsidRDefault="00E903CD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18114,40</w:t>
            </w:r>
          </w:p>
        </w:tc>
        <w:tc>
          <w:tcPr>
            <w:tcW w:w="1280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18122,60</w:t>
            </w:r>
          </w:p>
        </w:tc>
        <w:tc>
          <w:tcPr>
            <w:tcW w:w="1971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36237,00</w:t>
            </w:r>
          </w:p>
        </w:tc>
      </w:tr>
      <w:tr w:rsidR="00581A96" w:rsidRPr="00751F6E" w:rsidTr="00400DBC">
        <w:trPr>
          <w:trHeight w:val="461"/>
        </w:trPr>
        <w:tc>
          <w:tcPr>
            <w:tcW w:w="5388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416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280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971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3000,00</w:t>
            </w:r>
          </w:p>
        </w:tc>
      </w:tr>
      <w:tr w:rsidR="00400DBC" w:rsidRPr="00751F6E" w:rsidTr="00400DBC">
        <w:trPr>
          <w:trHeight w:val="461"/>
        </w:trPr>
        <w:tc>
          <w:tcPr>
            <w:tcW w:w="5388" w:type="dxa"/>
          </w:tcPr>
          <w:p w:rsidR="00400DBC" w:rsidRDefault="00400DBC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416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80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971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30000,00</w:t>
            </w:r>
          </w:p>
        </w:tc>
      </w:tr>
      <w:tr w:rsidR="00581A96" w:rsidRPr="00751F6E" w:rsidTr="00F94B41">
        <w:tc>
          <w:tcPr>
            <w:tcW w:w="5388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районний бюджет </w:t>
            </w:r>
          </w:p>
        </w:tc>
        <w:tc>
          <w:tcPr>
            <w:tcW w:w="1416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1558,40</w:t>
            </w:r>
          </w:p>
        </w:tc>
        <w:tc>
          <w:tcPr>
            <w:tcW w:w="1280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1566,60</w:t>
            </w:r>
          </w:p>
        </w:tc>
        <w:tc>
          <w:tcPr>
            <w:tcW w:w="1971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3125,00</w:t>
            </w:r>
          </w:p>
        </w:tc>
      </w:tr>
      <w:tr w:rsidR="00400DBC" w:rsidRPr="00751F6E" w:rsidTr="00F94B41">
        <w:tc>
          <w:tcPr>
            <w:tcW w:w="5388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бюджети сільських та селищних рад </w:t>
            </w:r>
          </w:p>
        </w:tc>
        <w:tc>
          <w:tcPr>
            <w:tcW w:w="1416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1,00</w:t>
            </w:r>
          </w:p>
        </w:tc>
        <w:tc>
          <w:tcPr>
            <w:tcW w:w="1280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1,00</w:t>
            </w:r>
          </w:p>
        </w:tc>
        <w:tc>
          <w:tcPr>
            <w:tcW w:w="1971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2,00</w:t>
            </w:r>
          </w:p>
        </w:tc>
      </w:tr>
      <w:tr w:rsidR="00581A96" w:rsidRPr="00751F6E" w:rsidTr="00F94B41">
        <w:tc>
          <w:tcPr>
            <w:tcW w:w="5388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інші джерела </w:t>
            </w:r>
          </w:p>
        </w:tc>
        <w:tc>
          <w:tcPr>
            <w:tcW w:w="1416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55,00</w:t>
            </w:r>
          </w:p>
        </w:tc>
        <w:tc>
          <w:tcPr>
            <w:tcW w:w="1280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55,00</w:t>
            </w:r>
          </w:p>
        </w:tc>
        <w:tc>
          <w:tcPr>
            <w:tcW w:w="1971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110,00</w:t>
            </w:r>
          </w:p>
        </w:tc>
      </w:tr>
    </w:tbl>
    <w:p w:rsidR="00751F6E" w:rsidRPr="00751F6E" w:rsidRDefault="00751F6E" w:rsidP="00751F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2113A" w:rsidRPr="00C132C3" w:rsidRDefault="0032113A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32113A" w:rsidRPr="00C132C3" w:rsidSect="008247E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07619" w:rsidRPr="004815FF" w:rsidRDefault="00507619" w:rsidP="009D2EC9">
      <w:pPr>
        <w:pStyle w:val="2"/>
        <w:tabs>
          <w:tab w:val="left" w:pos="3660"/>
        </w:tabs>
        <w:jc w:val="center"/>
        <w:rPr>
          <w:rFonts w:ascii="Times New Roman" w:hAnsi="Times New Roman" w:cs="Times New Roman"/>
          <w:lang w:val="uk-UA"/>
        </w:rPr>
      </w:pPr>
    </w:p>
    <w:sectPr w:rsidR="00507619" w:rsidRPr="004815FF" w:rsidSect="00507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B44" w:rsidRDefault="005B5B44" w:rsidP="00DC6AAA">
      <w:pPr>
        <w:spacing w:after="0" w:line="240" w:lineRule="auto"/>
      </w:pPr>
      <w:r>
        <w:separator/>
      </w:r>
    </w:p>
  </w:endnote>
  <w:endnote w:type="continuationSeparator" w:id="1">
    <w:p w:rsidR="005B5B44" w:rsidRDefault="005B5B44" w:rsidP="00DC6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44" w:rsidRDefault="00B61004" w:rsidP="008247E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B5B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B5B44" w:rsidRDefault="005B5B44" w:rsidP="008247E5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44" w:rsidRDefault="00B61004" w:rsidP="008247E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B5B4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B6544">
      <w:rPr>
        <w:rStyle w:val="a9"/>
        <w:noProof/>
      </w:rPr>
      <w:t>2</w:t>
    </w:r>
    <w:r>
      <w:rPr>
        <w:rStyle w:val="a9"/>
      </w:rPr>
      <w:fldChar w:fldCharType="end"/>
    </w:r>
  </w:p>
  <w:p w:rsidR="005B5B44" w:rsidRDefault="005B5B44" w:rsidP="008247E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B44" w:rsidRDefault="005B5B44" w:rsidP="00DC6AAA">
      <w:pPr>
        <w:spacing w:after="0" w:line="240" w:lineRule="auto"/>
      </w:pPr>
      <w:r>
        <w:separator/>
      </w:r>
    </w:p>
  </w:footnote>
  <w:footnote w:type="continuationSeparator" w:id="1">
    <w:p w:rsidR="005B5B44" w:rsidRDefault="005B5B44" w:rsidP="00DC6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44" w:rsidRDefault="00B61004" w:rsidP="008247E5">
    <w:pPr>
      <w:pStyle w:val="a5"/>
      <w:framePr w:wrap="around" w:vAnchor="text" w:hAnchor="margin" w:xAlign="inside" w:y="1"/>
      <w:rPr>
        <w:rStyle w:val="a9"/>
      </w:rPr>
    </w:pPr>
    <w:r>
      <w:rPr>
        <w:rStyle w:val="a9"/>
      </w:rPr>
      <w:fldChar w:fldCharType="begin"/>
    </w:r>
    <w:r w:rsidR="005B5B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B5B44" w:rsidRDefault="005B5B44" w:rsidP="008247E5">
    <w:pPr>
      <w:pStyle w:val="a5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44" w:rsidRDefault="005B5B44" w:rsidP="008247E5">
    <w:pPr>
      <w:pStyle w:val="a5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90535"/>
    <w:multiLevelType w:val="hybridMultilevel"/>
    <w:tmpl w:val="04EAC9D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492D34"/>
    <w:multiLevelType w:val="hybridMultilevel"/>
    <w:tmpl w:val="C268A1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D72522D"/>
    <w:multiLevelType w:val="hybridMultilevel"/>
    <w:tmpl w:val="BA9EB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8D7"/>
    <w:rsid w:val="000B465F"/>
    <w:rsid w:val="000B6544"/>
    <w:rsid w:val="000F7518"/>
    <w:rsid w:val="0014733E"/>
    <w:rsid w:val="001A6CD0"/>
    <w:rsid w:val="002A4E70"/>
    <w:rsid w:val="0032113A"/>
    <w:rsid w:val="00390434"/>
    <w:rsid w:val="003D61DB"/>
    <w:rsid w:val="00400DBC"/>
    <w:rsid w:val="004815FF"/>
    <w:rsid w:val="004E4F5F"/>
    <w:rsid w:val="00507619"/>
    <w:rsid w:val="005502DC"/>
    <w:rsid w:val="00555AA4"/>
    <w:rsid w:val="00581A96"/>
    <w:rsid w:val="005B5B44"/>
    <w:rsid w:val="005F2704"/>
    <w:rsid w:val="00751F6E"/>
    <w:rsid w:val="00761D82"/>
    <w:rsid w:val="00782782"/>
    <w:rsid w:val="00794E93"/>
    <w:rsid w:val="00823407"/>
    <w:rsid w:val="008247E5"/>
    <w:rsid w:val="00867529"/>
    <w:rsid w:val="008D3F73"/>
    <w:rsid w:val="0090580C"/>
    <w:rsid w:val="00944E04"/>
    <w:rsid w:val="00975551"/>
    <w:rsid w:val="009D2EC9"/>
    <w:rsid w:val="00A916EF"/>
    <w:rsid w:val="00B308AA"/>
    <w:rsid w:val="00B61004"/>
    <w:rsid w:val="00BC2AC0"/>
    <w:rsid w:val="00BE0B43"/>
    <w:rsid w:val="00C125D0"/>
    <w:rsid w:val="00C538D7"/>
    <w:rsid w:val="00CA23F5"/>
    <w:rsid w:val="00CB0093"/>
    <w:rsid w:val="00D844E9"/>
    <w:rsid w:val="00DA1C0E"/>
    <w:rsid w:val="00DC6AAA"/>
    <w:rsid w:val="00DE0174"/>
    <w:rsid w:val="00E903CD"/>
    <w:rsid w:val="00EE4C11"/>
    <w:rsid w:val="00EF60E0"/>
    <w:rsid w:val="00F54A9C"/>
    <w:rsid w:val="00F94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8D7"/>
  </w:style>
  <w:style w:type="paragraph" w:styleId="1">
    <w:name w:val="heading 1"/>
    <w:basedOn w:val="a"/>
    <w:next w:val="a"/>
    <w:link w:val="10"/>
    <w:uiPriority w:val="99"/>
    <w:qFormat/>
    <w:rsid w:val="00C538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538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38D7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538D7"/>
    <w:pPr>
      <w:ind w:left="720"/>
      <w:contextualSpacing/>
    </w:pPr>
  </w:style>
  <w:style w:type="table" w:styleId="a4">
    <w:name w:val="Table Grid"/>
    <w:basedOn w:val="a1"/>
    <w:uiPriority w:val="59"/>
    <w:rsid w:val="00C53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C5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C538D7"/>
  </w:style>
  <w:style w:type="paragraph" w:styleId="a7">
    <w:name w:val="footer"/>
    <w:basedOn w:val="a"/>
    <w:link w:val="a8"/>
    <w:unhideWhenUsed/>
    <w:rsid w:val="00C5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C538D7"/>
  </w:style>
  <w:style w:type="character" w:styleId="a9">
    <w:name w:val="page number"/>
    <w:basedOn w:val="a0"/>
    <w:rsid w:val="00C538D7"/>
  </w:style>
  <w:style w:type="character" w:customStyle="1" w:styleId="20">
    <w:name w:val="Заголовок 2 Знак"/>
    <w:basedOn w:val="a0"/>
    <w:link w:val="2"/>
    <w:uiPriority w:val="9"/>
    <w:rsid w:val="00C538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uiPriority w:val="99"/>
    <w:rsid w:val="00C538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C53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C538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C53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538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538D7"/>
    <w:rPr>
      <w:sz w:val="16"/>
      <w:szCs w:val="16"/>
    </w:rPr>
  </w:style>
  <w:style w:type="paragraph" w:styleId="ae">
    <w:name w:val="Title"/>
    <w:basedOn w:val="a"/>
    <w:link w:val="af"/>
    <w:qFormat/>
    <w:rsid w:val="00C538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f">
    <w:name w:val="Название Знак"/>
    <w:basedOn w:val="a0"/>
    <w:link w:val="ae"/>
    <w:rsid w:val="00C538D7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6B4B9-1D5E-4F5A-BBFD-016D67DC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Vn-polituka</cp:lastModifiedBy>
  <cp:revision>15</cp:revision>
  <cp:lastPrinted>2017-01-25T06:38:00Z</cp:lastPrinted>
  <dcterms:created xsi:type="dcterms:W3CDTF">2017-01-25T06:40:00Z</dcterms:created>
  <dcterms:modified xsi:type="dcterms:W3CDTF">2017-01-25T14:53:00Z</dcterms:modified>
</cp:coreProperties>
</file>