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D21" w:rsidRPr="0006636B" w:rsidRDefault="001A2D21" w:rsidP="000663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636B">
        <w:rPr>
          <w:rFonts w:ascii="Times New Roman" w:hAnsi="Times New Roman" w:cs="Times New Roman"/>
          <w:b/>
          <w:sz w:val="28"/>
          <w:szCs w:val="28"/>
          <w:lang w:val="uk-UA"/>
        </w:rPr>
        <w:t>Витяг з протоколу</w:t>
      </w:r>
    </w:p>
    <w:p w:rsidR="001A2D21" w:rsidRPr="0006636B" w:rsidRDefault="001A2D21" w:rsidP="000663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636B">
        <w:rPr>
          <w:rFonts w:ascii="Times New Roman" w:hAnsi="Times New Roman" w:cs="Times New Roman"/>
          <w:b/>
          <w:sz w:val="28"/>
          <w:szCs w:val="28"/>
          <w:lang w:val="uk-UA"/>
        </w:rPr>
        <w:t>засідання колегії Недригайлівської районної державної адміністрації</w:t>
      </w:r>
    </w:p>
    <w:p w:rsidR="001A2D21" w:rsidRPr="0006636B" w:rsidRDefault="001A2D21" w:rsidP="0006636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A2D21" w:rsidRPr="0006636B" w:rsidRDefault="00C81DD3" w:rsidP="0006636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23</w:t>
      </w:r>
      <w:r w:rsidR="00D34CBA">
        <w:rPr>
          <w:rFonts w:ascii="Times New Roman" w:hAnsi="Times New Roman" w:cs="Times New Roman"/>
          <w:sz w:val="28"/>
          <w:szCs w:val="28"/>
          <w:lang w:val="uk-UA"/>
        </w:rPr>
        <w:t>.07</w:t>
      </w:r>
      <w:r w:rsidR="001A2D21" w:rsidRPr="0006636B">
        <w:rPr>
          <w:rFonts w:ascii="Times New Roman" w:hAnsi="Times New Roman" w:cs="Times New Roman"/>
          <w:sz w:val="28"/>
          <w:szCs w:val="28"/>
          <w:lang w:val="uk-UA"/>
        </w:rPr>
        <w:t xml:space="preserve">.2014                                           </w:t>
      </w:r>
      <w:r w:rsidR="0006636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="001A2D21" w:rsidRPr="0006636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смт Недригайлів</w:t>
      </w:r>
    </w:p>
    <w:p w:rsidR="001A2D21" w:rsidRPr="001A2D21" w:rsidRDefault="001A2D21" w:rsidP="0006636B">
      <w:pPr>
        <w:spacing w:after="0"/>
        <w:rPr>
          <w:sz w:val="28"/>
          <w:szCs w:val="28"/>
          <w:lang w:val="uk-UA"/>
        </w:rPr>
      </w:pPr>
    </w:p>
    <w:p w:rsidR="001A2D21" w:rsidRDefault="001A2D21" w:rsidP="0006636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4CBA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D34CBA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D34CBA">
        <w:rPr>
          <w:rFonts w:ascii="Times New Roman" w:hAnsi="Times New Roman" w:cs="Times New Roman"/>
          <w:b/>
          <w:sz w:val="28"/>
          <w:szCs w:val="28"/>
          <w:lang w:val="uk-UA"/>
        </w:rPr>
        <w:t>. Про підсумки  роботи із зверненнями громадян в органах державної виконавчої влади та органах місцевог</w:t>
      </w:r>
      <w:r w:rsidR="00C81DD3">
        <w:rPr>
          <w:rFonts w:ascii="Times New Roman" w:hAnsi="Times New Roman" w:cs="Times New Roman"/>
          <w:b/>
          <w:sz w:val="28"/>
          <w:szCs w:val="28"/>
          <w:lang w:val="uk-UA"/>
        </w:rPr>
        <w:t>о самоврядування району за 1 півріччя 2014</w:t>
      </w:r>
      <w:r w:rsidRPr="00D34CB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</w:t>
      </w:r>
      <w:r w:rsidR="00C81DD3"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  <w:r w:rsidRPr="00D34CBA">
        <w:rPr>
          <w:rFonts w:ascii="Times New Roman" w:hAnsi="Times New Roman" w:cs="Times New Roman"/>
          <w:b/>
          <w:sz w:val="28"/>
          <w:szCs w:val="28"/>
          <w:lang w:val="uk-UA"/>
        </w:rPr>
        <w:t>к</w:t>
      </w:r>
      <w:r w:rsidR="00C81DD3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Pr="00D34CB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стан виконання вимог Указу Президента України від 7 лютого 2008 року № 109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</w:t>
      </w:r>
    </w:p>
    <w:p w:rsidR="00733DA1" w:rsidRPr="00D34CBA" w:rsidRDefault="00733DA1" w:rsidP="0006636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A2D21" w:rsidRPr="001A2D21" w:rsidRDefault="001A2D21" w:rsidP="0006636B">
      <w:pPr>
        <w:spacing w:after="0"/>
        <w:rPr>
          <w:b/>
          <w:sz w:val="20"/>
          <w:szCs w:val="20"/>
          <w:lang w:val="uk-UA"/>
        </w:rPr>
      </w:pPr>
    </w:p>
    <w:p w:rsidR="001A2D21" w:rsidRPr="0006636B" w:rsidRDefault="001A2D21" w:rsidP="00733DA1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1A2D21">
        <w:rPr>
          <w:color w:val="000000"/>
          <w:sz w:val="28"/>
          <w:szCs w:val="28"/>
          <w:lang w:val="uk-UA"/>
        </w:rPr>
        <w:t xml:space="preserve">        </w:t>
      </w:r>
      <w:r w:rsidRPr="0006636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34CBA">
        <w:rPr>
          <w:rFonts w:ascii="Times New Roman" w:hAnsi="Times New Roman" w:cs="Times New Roman"/>
          <w:color w:val="000000"/>
          <w:sz w:val="28"/>
          <w:szCs w:val="28"/>
          <w:lang w:val="uk-UA"/>
        </w:rPr>
        <w:t>2</w:t>
      </w:r>
      <w:r w:rsidRPr="0006636B">
        <w:rPr>
          <w:rFonts w:ascii="Times New Roman" w:hAnsi="Times New Roman" w:cs="Times New Roman"/>
          <w:color w:val="000000"/>
          <w:sz w:val="28"/>
          <w:szCs w:val="28"/>
          <w:lang w:val="uk-UA"/>
        </w:rPr>
        <w:t>.1. Керівникам структурних підрозділів Недригайлівської районної державної адміністрації, територіальних підрозділів центральних органів державної виконавчої влади в районі, рекомендувати сільським, селищним головам:</w:t>
      </w:r>
    </w:p>
    <w:tbl>
      <w:tblPr>
        <w:tblW w:w="10349" w:type="dxa"/>
        <w:tblInd w:w="-318" w:type="dxa"/>
        <w:tblLayout w:type="fixed"/>
        <w:tblLook w:val="0000"/>
      </w:tblPr>
      <w:tblGrid>
        <w:gridCol w:w="284"/>
        <w:gridCol w:w="142"/>
        <w:gridCol w:w="9923"/>
      </w:tblGrid>
      <w:tr w:rsidR="001A2D21" w:rsidRPr="00C81DD3" w:rsidTr="002C74D8">
        <w:trPr>
          <w:trHeight w:val="544"/>
        </w:trPr>
        <w:tc>
          <w:tcPr>
            <w:tcW w:w="284" w:type="dxa"/>
          </w:tcPr>
          <w:p w:rsidR="001A2D21" w:rsidRPr="00512C83" w:rsidRDefault="001A2D21" w:rsidP="00C81DD3">
            <w:pPr>
              <w:pStyle w:val="a3"/>
              <w:spacing w:line="235" w:lineRule="auto"/>
              <w:jc w:val="both"/>
              <w:rPr>
                <w:b w:val="0"/>
                <w:bCs w:val="0"/>
              </w:rPr>
            </w:pPr>
          </w:p>
        </w:tc>
        <w:tc>
          <w:tcPr>
            <w:tcW w:w="10065" w:type="dxa"/>
            <w:gridSpan w:val="2"/>
          </w:tcPr>
          <w:p w:rsidR="00C81DD3" w:rsidRDefault="00C81DD3" w:rsidP="00733DA1">
            <w:pPr>
              <w:pStyle w:val="a3"/>
              <w:numPr>
                <w:ilvl w:val="0"/>
                <w:numId w:val="1"/>
              </w:numPr>
              <w:jc w:val="right"/>
              <w:rPr>
                <w:b w:val="0"/>
              </w:rPr>
            </w:pPr>
            <w:r>
              <w:rPr>
                <w:b w:val="0"/>
              </w:rPr>
              <w:t xml:space="preserve">забезпечити виконання заходів щодо забезпечення реалізації та </w:t>
            </w:r>
            <w:proofErr w:type="spellStart"/>
            <w:r>
              <w:rPr>
                <w:b w:val="0"/>
              </w:rPr>
              <w:t>гаранту-</w:t>
            </w:r>
            <w:proofErr w:type="spellEnd"/>
          </w:p>
          <w:p w:rsidR="00C81DD3" w:rsidRDefault="00C81DD3" w:rsidP="00C81DD3">
            <w:pPr>
              <w:pStyle w:val="a3"/>
              <w:jc w:val="both"/>
              <w:rPr>
                <w:b w:val="0"/>
              </w:rPr>
            </w:pPr>
            <w:proofErr w:type="spellStart"/>
            <w:r>
              <w:rPr>
                <w:b w:val="0"/>
              </w:rPr>
              <w:t>вання</w:t>
            </w:r>
            <w:proofErr w:type="spellEnd"/>
            <w:r>
              <w:rPr>
                <w:b w:val="0"/>
              </w:rPr>
              <w:t xml:space="preserve"> конституційного права громадян на звернення, затверджених розпорядженням голови Недригайлівської районної державної адміністрації від 16.08.2013 № 236-ОД;</w:t>
            </w:r>
          </w:p>
          <w:p w:rsidR="001A2D21" w:rsidRPr="0006636B" w:rsidRDefault="00C81DD3" w:rsidP="00C81DD3">
            <w:pPr>
              <w:pStyle w:val="a3"/>
              <w:numPr>
                <w:ilvl w:val="0"/>
                <w:numId w:val="1"/>
              </w:numPr>
              <w:ind w:left="34"/>
              <w:jc w:val="both"/>
              <w:rPr>
                <w:b w:val="0"/>
                <w:bCs w:val="0"/>
              </w:rPr>
            </w:pPr>
            <w:r>
              <w:rPr>
                <w:b w:val="0"/>
              </w:rPr>
              <w:t xml:space="preserve">         2) </w:t>
            </w:r>
            <w:r w:rsidRPr="0006636B">
              <w:rPr>
                <w:b w:val="0"/>
              </w:rPr>
              <w:t>проаналізувати аналітичні матеріали за підсумками опрацюванн</w:t>
            </w:r>
            <w:r>
              <w:rPr>
                <w:b w:val="0"/>
              </w:rPr>
              <w:t>я звернень громадян у 1 півріччі 2014 року</w:t>
            </w:r>
            <w:r w:rsidRPr="0006636B">
              <w:rPr>
                <w:b w:val="0"/>
              </w:rPr>
              <w:t xml:space="preserve"> та вжити вичерпних заходів щодо усунення недоліків;</w:t>
            </w:r>
          </w:p>
        </w:tc>
      </w:tr>
      <w:tr w:rsidR="001A2D21" w:rsidRPr="00587C6F" w:rsidTr="002C74D8">
        <w:trPr>
          <w:trHeight w:val="478"/>
        </w:trPr>
        <w:tc>
          <w:tcPr>
            <w:tcW w:w="284" w:type="dxa"/>
          </w:tcPr>
          <w:p w:rsidR="001A2D21" w:rsidRPr="004C514F" w:rsidRDefault="001A2D21" w:rsidP="0006636B">
            <w:pPr>
              <w:pStyle w:val="a3"/>
              <w:spacing w:line="235" w:lineRule="auto"/>
              <w:ind w:left="-675" w:right="-108" w:hanging="141"/>
              <w:jc w:val="both"/>
              <w:rPr>
                <w:b w:val="0"/>
                <w:bCs w:val="0"/>
              </w:rPr>
            </w:pPr>
          </w:p>
        </w:tc>
        <w:tc>
          <w:tcPr>
            <w:tcW w:w="10065" w:type="dxa"/>
            <w:gridSpan w:val="2"/>
          </w:tcPr>
          <w:p w:rsidR="001A2D21" w:rsidRPr="0006636B" w:rsidRDefault="001A2D21" w:rsidP="0006636B">
            <w:pPr>
              <w:autoSpaceDE w:val="0"/>
              <w:autoSpaceDN w:val="0"/>
              <w:adjustRightInd w:val="0"/>
              <w:spacing w:before="10" w:after="0" w:line="240" w:lineRule="auto"/>
              <w:ind w:left="38" w:right="1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663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</w:t>
            </w:r>
            <w:r w:rsidR="00C81D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06636B">
              <w:rPr>
                <w:rFonts w:ascii="Times New Roman" w:hAnsi="Times New Roman" w:cs="Times New Roman"/>
                <w:sz w:val="28"/>
                <w:szCs w:val="28"/>
              </w:rPr>
              <w:t>) п</w:t>
            </w:r>
            <w:r w:rsidR="0006636B">
              <w:rPr>
                <w:rFonts w:ascii="Times New Roman" w:hAnsi="Times New Roman" w:cs="Times New Roman"/>
                <w:sz w:val="28"/>
                <w:szCs w:val="28"/>
              </w:rPr>
              <w:t>осилити</w:t>
            </w:r>
            <w:r w:rsidR="000663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6636B">
              <w:rPr>
                <w:rFonts w:ascii="Times New Roman" w:hAnsi="Times New Roman" w:cs="Times New Roman"/>
                <w:sz w:val="28"/>
                <w:szCs w:val="28"/>
              </w:rPr>
              <w:t>увагу до проблем г</w:t>
            </w:r>
            <w:r w:rsidR="00D34CBA">
              <w:rPr>
                <w:rFonts w:ascii="Times New Roman" w:hAnsi="Times New Roman" w:cs="Times New Roman"/>
                <w:sz w:val="28"/>
                <w:szCs w:val="28"/>
              </w:rPr>
              <w:t>ромадян, що потребують</w:t>
            </w:r>
            <w:r w:rsidR="00D34C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соціального</w:t>
            </w:r>
            <w:r w:rsidR="0006636B">
              <w:rPr>
                <w:rFonts w:ascii="Times New Roman" w:hAnsi="Times New Roman" w:cs="Times New Roman"/>
                <w:sz w:val="28"/>
                <w:szCs w:val="28"/>
              </w:rPr>
              <w:t xml:space="preserve"> захисту та підтримки</w:t>
            </w:r>
            <w:r w:rsidRPr="0006636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A2D21" w:rsidRPr="00587C6F" w:rsidTr="002C74D8">
        <w:trPr>
          <w:trHeight w:val="478"/>
        </w:trPr>
        <w:tc>
          <w:tcPr>
            <w:tcW w:w="284" w:type="dxa"/>
          </w:tcPr>
          <w:p w:rsidR="001A2D21" w:rsidRPr="00A71F00" w:rsidRDefault="001A2D21" w:rsidP="00733DA1">
            <w:pPr>
              <w:pStyle w:val="a3"/>
              <w:spacing w:line="235" w:lineRule="auto"/>
              <w:jc w:val="both"/>
              <w:rPr>
                <w:b w:val="0"/>
                <w:bCs w:val="0"/>
              </w:rPr>
            </w:pPr>
          </w:p>
        </w:tc>
        <w:tc>
          <w:tcPr>
            <w:tcW w:w="10065" w:type="dxa"/>
            <w:gridSpan w:val="2"/>
          </w:tcPr>
          <w:p w:rsidR="001A2D21" w:rsidRPr="00D34CBA" w:rsidRDefault="00C81DD3" w:rsidP="00733DA1">
            <w:pPr>
              <w:autoSpaceDE w:val="0"/>
              <w:autoSpaceDN w:val="0"/>
              <w:adjustRightInd w:val="0"/>
              <w:spacing w:before="10" w:after="0" w:line="240" w:lineRule="auto"/>
              <w:ind w:left="38" w:right="1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4</w:t>
            </w:r>
            <w:r w:rsidR="001A2D21" w:rsidRPr="00D34C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) </w:t>
            </w:r>
            <w:r w:rsidR="00D34C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забезпечувати</w:t>
            </w:r>
            <w:r w:rsidR="001A2D21" w:rsidRPr="00D34C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вчасний розгляд та аналіз звернень (дзвінків), які надходять від жителів району, співпрацю з цих питань із загальним відділом апарату Недригайлівської районної державної адміністрації, сектором по роботі із зверненнями громадян апарату Сумської обласної державної адміністрації, державною установою </w:t>
            </w:r>
            <w:r w:rsidR="00D34CB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34C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Сумський</w:t>
            </w:r>
            <w:r w:rsidR="001A2D21" w:rsidRPr="0006636B">
              <w:rPr>
                <w:rFonts w:ascii="Times New Roman" w:hAnsi="Times New Roman" w:cs="Times New Roman"/>
                <w:sz w:val="28"/>
                <w:szCs w:val="28"/>
              </w:rPr>
              <w:t xml:space="preserve"> обласний контактний центр», державною установою «Урядовий контактний центр»</w:t>
            </w:r>
            <w:r w:rsidR="00D34C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1A2D21" w:rsidRPr="00587C6F" w:rsidTr="002C74D8">
        <w:trPr>
          <w:trHeight w:val="478"/>
        </w:trPr>
        <w:tc>
          <w:tcPr>
            <w:tcW w:w="284" w:type="dxa"/>
          </w:tcPr>
          <w:p w:rsidR="001A2D21" w:rsidRDefault="001A2D21" w:rsidP="00733DA1">
            <w:pPr>
              <w:pStyle w:val="a3"/>
              <w:spacing w:line="235" w:lineRule="auto"/>
              <w:jc w:val="both"/>
              <w:rPr>
                <w:b w:val="0"/>
                <w:bCs w:val="0"/>
              </w:rPr>
            </w:pPr>
          </w:p>
        </w:tc>
        <w:tc>
          <w:tcPr>
            <w:tcW w:w="10065" w:type="dxa"/>
            <w:gridSpan w:val="2"/>
          </w:tcPr>
          <w:p w:rsidR="001A2D21" w:rsidRPr="00733DA1" w:rsidRDefault="001A2D21" w:rsidP="00733DA1">
            <w:pPr>
              <w:autoSpaceDE w:val="0"/>
              <w:autoSpaceDN w:val="0"/>
              <w:adjustRightInd w:val="0"/>
              <w:spacing w:after="0" w:line="240" w:lineRule="auto"/>
              <w:ind w:right="1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A2D21" w:rsidRPr="00733DA1" w:rsidTr="002C74D8">
        <w:trPr>
          <w:gridBefore w:val="2"/>
          <w:wBefore w:w="426" w:type="dxa"/>
          <w:trHeight w:val="544"/>
        </w:trPr>
        <w:tc>
          <w:tcPr>
            <w:tcW w:w="9923" w:type="dxa"/>
          </w:tcPr>
          <w:p w:rsidR="001A2D21" w:rsidRPr="0035284B" w:rsidRDefault="001A2D21" w:rsidP="00733DA1">
            <w:pPr>
              <w:pStyle w:val="a3"/>
              <w:spacing w:line="235" w:lineRule="auto"/>
              <w:ind w:left="-108" w:firstLine="108"/>
              <w:jc w:val="both"/>
              <w:rPr>
                <w:rFonts w:eastAsia="Calibri"/>
                <w:b w:val="0"/>
                <w:szCs w:val="22"/>
                <w:lang w:eastAsia="en-US"/>
              </w:rPr>
            </w:pPr>
            <w:r>
              <w:rPr>
                <w:b w:val="0"/>
              </w:rPr>
              <w:t xml:space="preserve">        </w:t>
            </w:r>
            <w:r w:rsidR="00D34CBA">
              <w:rPr>
                <w:b w:val="0"/>
              </w:rPr>
              <w:t>2</w:t>
            </w:r>
            <w:r w:rsidRPr="006611F3">
              <w:rPr>
                <w:b w:val="0"/>
              </w:rPr>
              <w:t>.2. Загальному відділу апарату Недригайлівської  районної державної      адміністрації</w:t>
            </w:r>
            <w:r>
              <w:t xml:space="preserve"> </w:t>
            </w:r>
            <w:r w:rsidR="00733DA1">
              <w:rPr>
                <w:b w:val="0"/>
                <w:bCs w:val="0"/>
              </w:rPr>
              <w:t>до 30</w:t>
            </w:r>
            <w:r w:rsidR="00D34CBA">
              <w:rPr>
                <w:b w:val="0"/>
                <w:bCs w:val="0"/>
              </w:rPr>
              <w:t>.07</w:t>
            </w:r>
            <w:r>
              <w:rPr>
                <w:b w:val="0"/>
                <w:bCs w:val="0"/>
              </w:rPr>
              <w:t>.2014</w:t>
            </w:r>
            <w:r w:rsidR="0006636B">
              <w:rPr>
                <w:rFonts w:eastAsia="Calibri"/>
                <w:b w:val="0"/>
                <w:lang w:eastAsia="en-US"/>
              </w:rPr>
              <w:t xml:space="preserve"> забезпечити оприлюднення на офіційному сайті Недригайлівської районної державної адміністрації та в районній газеті «Голос Посулля» підсумків роботи</w:t>
            </w:r>
            <w:r w:rsidR="00D34CBA">
              <w:rPr>
                <w:rFonts w:eastAsia="Calibri"/>
                <w:b w:val="0"/>
                <w:lang w:eastAsia="en-US"/>
              </w:rPr>
              <w:t xml:space="preserve"> із зверненнями громадян у</w:t>
            </w:r>
            <w:r w:rsidR="0006636B">
              <w:rPr>
                <w:rFonts w:eastAsia="Calibri"/>
                <w:b w:val="0"/>
                <w:lang w:eastAsia="en-US"/>
              </w:rPr>
              <w:t xml:space="preserve"> 1 півріччі 2014 року</w:t>
            </w:r>
            <w:r>
              <w:rPr>
                <w:rFonts w:eastAsia="Calibri"/>
                <w:b w:val="0"/>
                <w:szCs w:val="22"/>
                <w:lang w:eastAsia="en-US"/>
              </w:rPr>
              <w:t>.</w:t>
            </w:r>
          </w:p>
          <w:tbl>
            <w:tblPr>
              <w:tblStyle w:val="a5"/>
              <w:tblW w:w="0" w:type="auto"/>
              <w:tblInd w:w="6526" w:type="dxa"/>
              <w:tblLayout w:type="fixed"/>
              <w:tblLook w:val="01E0"/>
            </w:tblPr>
            <w:tblGrid>
              <w:gridCol w:w="2577"/>
            </w:tblGrid>
            <w:tr w:rsidR="001A2D21" w:rsidRPr="00733DA1" w:rsidTr="002C74D8">
              <w:tc>
                <w:tcPr>
                  <w:tcW w:w="25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A2D21" w:rsidRDefault="001A2D21" w:rsidP="00733DA1">
                  <w:pPr>
                    <w:pStyle w:val="a3"/>
                    <w:spacing w:line="235" w:lineRule="auto"/>
                    <w:jc w:val="both"/>
                    <w:rPr>
                      <w:b w:val="0"/>
                      <w:bCs w:val="0"/>
                    </w:rPr>
                  </w:pPr>
                  <w:r>
                    <w:rPr>
                      <w:b w:val="0"/>
                      <w:bCs w:val="0"/>
                    </w:rPr>
                    <w:t xml:space="preserve">         </w:t>
                  </w:r>
                </w:p>
              </w:tc>
            </w:tr>
            <w:tr w:rsidR="001A2D21" w:rsidRPr="00733DA1" w:rsidTr="002C74D8">
              <w:tc>
                <w:tcPr>
                  <w:tcW w:w="25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A2D21" w:rsidRDefault="001A2D21" w:rsidP="00733DA1">
                  <w:pPr>
                    <w:pStyle w:val="a3"/>
                    <w:spacing w:line="235" w:lineRule="auto"/>
                    <w:jc w:val="both"/>
                    <w:rPr>
                      <w:b w:val="0"/>
                      <w:bCs w:val="0"/>
                    </w:rPr>
                  </w:pPr>
                </w:p>
              </w:tc>
            </w:tr>
          </w:tbl>
          <w:p w:rsidR="001A2D21" w:rsidRPr="00B30D29" w:rsidRDefault="001A2D21" w:rsidP="00733DA1">
            <w:pPr>
              <w:pStyle w:val="a3"/>
              <w:spacing w:line="235" w:lineRule="auto"/>
              <w:jc w:val="both"/>
              <w:rPr>
                <w:b w:val="0"/>
                <w:bCs w:val="0"/>
              </w:rPr>
            </w:pPr>
          </w:p>
        </w:tc>
      </w:tr>
    </w:tbl>
    <w:p w:rsidR="001A2D21" w:rsidRPr="0006636B" w:rsidRDefault="001A2D21" w:rsidP="00733DA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636B">
        <w:rPr>
          <w:rFonts w:ascii="Times New Roman" w:hAnsi="Times New Roman" w:cs="Times New Roman"/>
          <w:b/>
          <w:sz w:val="28"/>
          <w:szCs w:val="28"/>
          <w:lang w:val="uk-UA"/>
        </w:rPr>
        <w:t>Голова Недригайлівської</w:t>
      </w:r>
    </w:p>
    <w:p w:rsidR="001A2D21" w:rsidRPr="0006636B" w:rsidRDefault="001A2D21" w:rsidP="0006636B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06636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районної державної адміністрації                                                  </w:t>
      </w:r>
      <w:r w:rsidR="0006636B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Pr="0006636B">
        <w:rPr>
          <w:rFonts w:ascii="Times New Roman" w:hAnsi="Times New Roman" w:cs="Times New Roman"/>
          <w:b/>
          <w:sz w:val="28"/>
          <w:szCs w:val="28"/>
          <w:lang w:val="uk-UA"/>
        </w:rPr>
        <w:t>.І. К</w:t>
      </w:r>
      <w:r w:rsidR="0006636B">
        <w:rPr>
          <w:rFonts w:ascii="Times New Roman" w:hAnsi="Times New Roman" w:cs="Times New Roman"/>
          <w:b/>
          <w:sz w:val="28"/>
          <w:szCs w:val="28"/>
          <w:lang w:val="uk-UA"/>
        </w:rPr>
        <w:t>ужель</w:t>
      </w:r>
    </w:p>
    <w:sectPr w:rsidR="001A2D21" w:rsidRPr="0006636B" w:rsidSect="00733DA1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AD3B3A"/>
    <w:multiLevelType w:val="hybridMultilevel"/>
    <w:tmpl w:val="CA0E0BE6"/>
    <w:lvl w:ilvl="0" w:tplc="43709ABC">
      <w:start w:val="1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677BB"/>
    <w:rsid w:val="0006636B"/>
    <w:rsid w:val="00105F77"/>
    <w:rsid w:val="001A2D21"/>
    <w:rsid w:val="001D0847"/>
    <w:rsid w:val="00433241"/>
    <w:rsid w:val="00733DA1"/>
    <w:rsid w:val="008677BB"/>
    <w:rsid w:val="00C81DD3"/>
    <w:rsid w:val="00D34CBA"/>
    <w:rsid w:val="00ED57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7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677B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8677BB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table" w:styleId="a5">
    <w:name w:val="Table Grid"/>
    <w:basedOn w:val="a1"/>
    <w:rsid w:val="008677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88BC5-6171-4CC1-BB84-F00FFE076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2014-07-12T13:01:00Z</dcterms:created>
  <dcterms:modified xsi:type="dcterms:W3CDTF">2014-07-17T10:51:00Z</dcterms:modified>
</cp:coreProperties>
</file>