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3AC" w:rsidRDefault="007803AC" w:rsidP="007803AC">
      <w:pPr>
        <w:tabs>
          <w:tab w:val="left" w:pos="8055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П</w:t>
      </w:r>
      <w:r w:rsidR="007C1592">
        <w:rPr>
          <w:sz w:val="28"/>
          <w:szCs w:val="28"/>
        </w:rPr>
        <w:t>р</w:t>
      </w:r>
      <w:bookmarkStart w:id="0" w:name="_GoBack"/>
      <w:bookmarkEnd w:id="0"/>
      <w:r>
        <w:rPr>
          <w:sz w:val="28"/>
          <w:szCs w:val="28"/>
          <w:lang w:val="ru-RU"/>
        </w:rPr>
        <w:t>оект.</w:t>
      </w:r>
    </w:p>
    <w:p w:rsidR="007803AC" w:rsidRDefault="007803AC" w:rsidP="007803AC">
      <w:pPr>
        <w:tabs>
          <w:tab w:val="left" w:pos="8055"/>
        </w:tabs>
        <w:rPr>
          <w:sz w:val="28"/>
          <w:szCs w:val="28"/>
          <w:lang w:val="ru-RU"/>
        </w:rPr>
      </w:pPr>
    </w:p>
    <w:p w:rsidR="00772AE9" w:rsidRPr="00942A77" w:rsidRDefault="00A86D7F" w:rsidP="00A86D7F">
      <w:pPr>
        <w:jc w:val="center"/>
        <w:rPr>
          <w:b/>
          <w:sz w:val="28"/>
          <w:szCs w:val="28"/>
        </w:rPr>
      </w:pPr>
      <w:r w:rsidRPr="00942A77">
        <w:rPr>
          <w:b/>
          <w:sz w:val="28"/>
          <w:szCs w:val="28"/>
        </w:rPr>
        <w:t>Протокольне доручення</w:t>
      </w:r>
    </w:p>
    <w:p w:rsidR="00A86D7F" w:rsidRPr="008B61BB" w:rsidRDefault="00A86D7F" w:rsidP="00772A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наслідками </w:t>
      </w:r>
      <w:r w:rsidRPr="00CA0E78">
        <w:rPr>
          <w:sz w:val="28"/>
          <w:szCs w:val="28"/>
        </w:rPr>
        <w:t>засіданн</w:t>
      </w:r>
      <w:r>
        <w:rPr>
          <w:sz w:val="28"/>
          <w:szCs w:val="28"/>
        </w:rPr>
        <w:t xml:space="preserve">я колегії </w:t>
      </w:r>
      <w:r w:rsidRPr="0040219A">
        <w:rPr>
          <w:sz w:val="28"/>
          <w:szCs w:val="28"/>
        </w:rPr>
        <w:t>Недригайлівської</w:t>
      </w:r>
      <w:r w:rsidRPr="00FD3C57">
        <w:rPr>
          <w:sz w:val="28"/>
          <w:szCs w:val="28"/>
        </w:rPr>
        <w:t xml:space="preserve"> </w:t>
      </w:r>
      <w:r>
        <w:rPr>
          <w:sz w:val="28"/>
          <w:szCs w:val="28"/>
        </w:rPr>
        <w:t>район</w:t>
      </w:r>
      <w:r w:rsidRPr="00CA0E78">
        <w:rPr>
          <w:sz w:val="28"/>
          <w:szCs w:val="28"/>
        </w:rPr>
        <w:t>ної державної</w:t>
      </w:r>
      <w:r w:rsidR="00772AE9" w:rsidRPr="00772AE9">
        <w:rPr>
          <w:sz w:val="28"/>
          <w:szCs w:val="28"/>
        </w:rPr>
        <w:t xml:space="preserve"> </w:t>
      </w:r>
      <w:r w:rsidR="00772AE9">
        <w:rPr>
          <w:sz w:val="28"/>
          <w:szCs w:val="28"/>
        </w:rPr>
        <w:t>адміні-</w:t>
      </w:r>
    </w:p>
    <w:p w:rsidR="00A86D7F" w:rsidRDefault="00A86D7F" w:rsidP="00772A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страції  з питання розгляду підсумків </w:t>
      </w:r>
      <w:r w:rsidRPr="00CA0E78">
        <w:rPr>
          <w:sz w:val="28"/>
          <w:szCs w:val="28"/>
        </w:rPr>
        <w:t xml:space="preserve"> роботи із зверненнями</w:t>
      </w:r>
      <w:r w:rsidR="00772AE9" w:rsidRPr="00772AE9">
        <w:rPr>
          <w:sz w:val="28"/>
          <w:szCs w:val="28"/>
        </w:rPr>
        <w:t xml:space="preserve"> громадян в органах</w:t>
      </w:r>
    </w:p>
    <w:p w:rsidR="00772AE9" w:rsidRPr="00772AE9" w:rsidRDefault="00772AE9" w:rsidP="00772AE9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  <w:r w:rsidRPr="00772AE9">
        <w:rPr>
          <w:rFonts w:ascii="Times New Roman" w:hAnsi="Times New Roman"/>
          <w:sz w:val="28"/>
          <w:szCs w:val="28"/>
          <w:lang w:val="uk-UA"/>
        </w:rPr>
        <w:t>державної виконавчої влади та органах місцевого самоврядування району за  2013 рік та стан виконання вимог Указу Президента України від 7 лютого 2008 року № 109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</w:t>
      </w:r>
    </w:p>
    <w:p w:rsidR="00A86D7F" w:rsidRDefault="00A86D7F" w:rsidP="00772AE9">
      <w:pPr>
        <w:jc w:val="both"/>
        <w:rPr>
          <w:sz w:val="28"/>
          <w:szCs w:val="28"/>
        </w:rPr>
      </w:pPr>
    </w:p>
    <w:p w:rsidR="00A86D7F" w:rsidRPr="008B61BB" w:rsidRDefault="00A86D7F" w:rsidP="00A86D7F">
      <w:pPr>
        <w:rPr>
          <w:sz w:val="28"/>
          <w:szCs w:val="28"/>
        </w:rPr>
      </w:pPr>
      <w:r>
        <w:rPr>
          <w:sz w:val="28"/>
          <w:szCs w:val="28"/>
        </w:rPr>
        <w:t>смт Недригайлів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</w:t>
      </w:r>
      <w:r w:rsidRPr="008B61BB">
        <w:rPr>
          <w:sz w:val="28"/>
          <w:szCs w:val="28"/>
        </w:rPr>
        <w:t>22.01.2014</w:t>
      </w:r>
    </w:p>
    <w:p w:rsidR="00A86D7F" w:rsidRPr="00D234C7" w:rsidRDefault="00A86D7F" w:rsidP="00A86D7F">
      <w:pPr>
        <w:rPr>
          <w:b/>
          <w:sz w:val="20"/>
          <w:szCs w:val="20"/>
        </w:rPr>
      </w:pPr>
    </w:p>
    <w:p w:rsidR="00A86D7F" w:rsidRPr="008B61BB" w:rsidRDefault="00A86D7F" w:rsidP="00A86D7F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1. К</w:t>
      </w:r>
      <w:r w:rsidRPr="008B61BB">
        <w:rPr>
          <w:b/>
          <w:color w:val="000000"/>
          <w:sz w:val="28"/>
          <w:szCs w:val="28"/>
        </w:rPr>
        <w:t xml:space="preserve">ерівникам структурних підрозділів </w:t>
      </w:r>
      <w:r>
        <w:rPr>
          <w:b/>
          <w:color w:val="000000"/>
          <w:sz w:val="28"/>
          <w:szCs w:val="28"/>
        </w:rPr>
        <w:t>Недригайлівської район</w:t>
      </w:r>
      <w:r w:rsidRPr="008B61BB">
        <w:rPr>
          <w:b/>
          <w:color w:val="000000"/>
          <w:sz w:val="28"/>
          <w:szCs w:val="28"/>
        </w:rPr>
        <w:t>ної державної адміністрації, територіальних підрозділів центральних органів державної виконавчої влади</w:t>
      </w:r>
      <w:r w:rsidR="00772AE9">
        <w:rPr>
          <w:b/>
          <w:color w:val="000000"/>
          <w:sz w:val="28"/>
          <w:szCs w:val="28"/>
        </w:rPr>
        <w:t xml:space="preserve"> в районі</w:t>
      </w:r>
      <w:r w:rsidRPr="008B61BB">
        <w:rPr>
          <w:b/>
          <w:color w:val="000000"/>
          <w:sz w:val="28"/>
          <w:szCs w:val="28"/>
        </w:rPr>
        <w:t>, рекомендувати сільським, селищним головам:</w:t>
      </w:r>
    </w:p>
    <w:p w:rsidR="00A86D7F" w:rsidRPr="008B61BB" w:rsidRDefault="00A86D7F" w:rsidP="00A86D7F">
      <w:pPr>
        <w:pStyle w:val="a6"/>
        <w:jc w:val="both"/>
        <w:rPr>
          <w:b/>
          <w:color w:val="000000"/>
          <w:sz w:val="28"/>
          <w:szCs w:val="28"/>
        </w:rPr>
      </w:pPr>
    </w:p>
    <w:tbl>
      <w:tblPr>
        <w:tblW w:w="1034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284"/>
        <w:gridCol w:w="10065"/>
      </w:tblGrid>
      <w:tr w:rsidR="00A86D7F" w:rsidRPr="00F66862" w:rsidTr="007A33F5">
        <w:trPr>
          <w:trHeight w:val="544"/>
        </w:trPr>
        <w:tc>
          <w:tcPr>
            <w:tcW w:w="284" w:type="dxa"/>
          </w:tcPr>
          <w:p w:rsidR="00A86D7F" w:rsidRPr="00512C83" w:rsidRDefault="00A86D7F" w:rsidP="00F34DDA">
            <w:pPr>
              <w:pStyle w:val="a3"/>
              <w:spacing w:line="235" w:lineRule="auto"/>
              <w:jc w:val="both"/>
              <w:rPr>
                <w:b w:val="0"/>
                <w:bCs w:val="0"/>
              </w:rPr>
            </w:pPr>
          </w:p>
        </w:tc>
        <w:tc>
          <w:tcPr>
            <w:tcW w:w="10065" w:type="dxa"/>
          </w:tcPr>
          <w:p w:rsidR="00A86D7F" w:rsidRPr="00BE0BA6" w:rsidRDefault="00A86D7F" w:rsidP="00F34DDA">
            <w:pPr>
              <w:pStyle w:val="a3"/>
              <w:spacing w:line="235" w:lineRule="auto"/>
              <w:jc w:val="both"/>
              <w:rPr>
                <w:b w:val="0"/>
              </w:rPr>
            </w:pPr>
            <w:r>
              <w:rPr>
                <w:b w:val="0"/>
              </w:rPr>
              <w:t xml:space="preserve">         1.1 </w:t>
            </w:r>
            <w:r w:rsidRPr="00BE0BA6">
              <w:rPr>
                <w:b w:val="0"/>
              </w:rPr>
              <w:t>Проаналізувати аналітичні матеріали за підсумками опрацюванн</w:t>
            </w:r>
            <w:r w:rsidR="00772AE9">
              <w:rPr>
                <w:b w:val="0"/>
              </w:rPr>
              <w:t>я звернень громадян у 2013 році та</w:t>
            </w:r>
            <w:r w:rsidRPr="00BE0BA6">
              <w:rPr>
                <w:b w:val="0"/>
              </w:rPr>
              <w:t xml:space="preserve"> вжити вичерпних заходів щодо усунення недоліків. </w:t>
            </w:r>
          </w:p>
          <w:p w:rsidR="00A86D7F" w:rsidRPr="00512C83" w:rsidRDefault="00A86D7F" w:rsidP="00F34DDA">
            <w:pPr>
              <w:pStyle w:val="a3"/>
              <w:spacing w:line="235" w:lineRule="auto"/>
              <w:jc w:val="both"/>
              <w:rPr>
                <w:b w:val="0"/>
                <w:bCs w:val="0"/>
              </w:rPr>
            </w:pPr>
          </w:p>
        </w:tc>
      </w:tr>
      <w:tr w:rsidR="00A86D7F" w:rsidRPr="00587C6F" w:rsidTr="007A33F5">
        <w:trPr>
          <w:trHeight w:val="478"/>
        </w:trPr>
        <w:tc>
          <w:tcPr>
            <w:tcW w:w="284" w:type="dxa"/>
          </w:tcPr>
          <w:p w:rsidR="00A86D7F" w:rsidRPr="004C514F" w:rsidRDefault="00A86D7F" w:rsidP="00F34DDA">
            <w:pPr>
              <w:pStyle w:val="a3"/>
              <w:spacing w:line="235" w:lineRule="auto"/>
              <w:ind w:left="-675" w:right="-108" w:hanging="141"/>
              <w:jc w:val="both"/>
              <w:rPr>
                <w:b w:val="0"/>
                <w:bCs w:val="0"/>
              </w:rPr>
            </w:pPr>
          </w:p>
        </w:tc>
        <w:tc>
          <w:tcPr>
            <w:tcW w:w="10065" w:type="dxa"/>
          </w:tcPr>
          <w:p w:rsidR="00A86D7F" w:rsidRPr="00BE0BA6" w:rsidRDefault="00A86D7F" w:rsidP="00F34DDA">
            <w:pPr>
              <w:autoSpaceDE w:val="0"/>
              <w:autoSpaceDN w:val="0"/>
              <w:adjustRightInd w:val="0"/>
              <w:spacing w:before="10" w:line="317" w:lineRule="exact"/>
              <w:ind w:left="38" w:right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1.2 </w:t>
            </w:r>
            <w:r w:rsidRPr="00BE0BA6">
              <w:rPr>
                <w:sz w:val="28"/>
                <w:szCs w:val="28"/>
              </w:rPr>
              <w:t>Посилити увагу до проблем громадян, що потребують соціального захисту та підтримки, зокрема, у рамках реалізації соціальних ініціатив Президента України.</w:t>
            </w:r>
          </w:p>
          <w:p w:rsidR="00A86D7F" w:rsidRPr="00210360" w:rsidRDefault="00A86D7F" w:rsidP="00F34DDA">
            <w:pPr>
              <w:pStyle w:val="a3"/>
              <w:spacing w:line="235" w:lineRule="auto"/>
              <w:jc w:val="both"/>
              <w:rPr>
                <w:b w:val="0"/>
                <w:bCs w:val="0"/>
                <w:lang w:val="ru-RU"/>
              </w:rPr>
            </w:pPr>
          </w:p>
        </w:tc>
      </w:tr>
      <w:tr w:rsidR="00A86D7F" w:rsidRPr="00587C6F" w:rsidTr="007A33F5">
        <w:trPr>
          <w:trHeight w:val="478"/>
        </w:trPr>
        <w:tc>
          <w:tcPr>
            <w:tcW w:w="284" w:type="dxa"/>
          </w:tcPr>
          <w:p w:rsidR="00A86D7F" w:rsidRPr="00A71F00" w:rsidRDefault="00A86D7F" w:rsidP="00F34DDA">
            <w:pPr>
              <w:pStyle w:val="a3"/>
              <w:spacing w:line="235" w:lineRule="auto"/>
              <w:jc w:val="both"/>
              <w:rPr>
                <w:b w:val="0"/>
                <w:bCs w:val="0"/>
              </w:rPr>
            </w:pPr>
          </w:p>
        </w:tc>
        <w:tc>
          <w:tcPr>
            <w:tcW w:w="10065" w:type="dxa"/>
          </w:tcPr>
          <w:p w:rsidR="00A86D7F" w:rsidRPr="00A71F00" w:rsidRDefault="00A86D7F" w:rsidP="00F34DDA">
            <w:pPr>
              <w:autoSpaceDE w:val="0"/>
              <w:autoSpaceDN w:val="0"/>
              <w:adjustRightInd w:val="0"/>
              <w:spacing w:before="10" w:line="317" w:lineRule="exact"/>
              <w:ind w:left="38" w:right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1.3 </w:t>
            </w:r>
            <w:r w:rsidR="00772AE9">
              <w:rPr>
                <w:sz w:val="28"/>
                <w:szCs w:val="28"/>
              </w:rPr>
              <w:t>Забезпечувати</w:t>
            </w:r>
            <w:r w:rsidRPr="00A71F00">
              <w:rPr>
                <w:sz w:val="28"/>
                <w:szCs w:val="28"/>
              </w:rPr>
              <w:t xml:space="preserve"> </w:t>
            </w:r>
            <w:r w:rsidR="00772AE9">
              <w:rPr>
                <w:sz w:val="28"/>
                <w:szCs w:val="28"/>
              </w:rPr>
              <w:t>вчасний розгляд та аналіз</w:t>
            </w:r>
            <w:r w:rsidRPr="00A71F00">
              <w:rPr>
                <w:sz w:val="28"/>
                <w:szCs w:val="28"/>
              </w:rPr>
              <w:t xml:space="preserve"> звернень (дзвінків), які </w:t>
            </w:r>
            <w:r w:rsidR="00772AE9">
              <w:rPr>
                <w:sz w:val="28"/>
                <w:szCs w:val="28"/>
              </w:rPr>
              <w:t>надходять від жителів району, співпрацю</w:t>
            </w:r>
            <w:r w:rsidRPr="00A71F00">
              <w:rPr>
                <w:sz w:val="28"/>
                <w:szCs w:val="28"/>
              </w:rPr>
              <w:t xml:space="preserve"> з цих питань із</w:t>
            </w:r>
            <w:r w:rsidR="00772AE9">
              <w:rPr>
                <w:sz w:val="28"/>
                <w:szCs w:val="28"/>
              </w:rPr>
              <w:t xml:space="preserve"> загальним відділом апарату Недригайлівської районної державної адміністрації,</w:t>
            </w:r>
            <w:r w:rsidRPr="00A71F00">
              <w:rPr>
                <w:sz w:val="28"/>
                <w:szCs w:val="28"/>
              </w:rPr>
              <w:t xml:space="preserve"> сектором по роботі із зверненнями громадян апарату Сумської обласної державної адміністрації, державною установою «Сумський обласний контактний центр», державною установою «Урядовий контактний центр».</w:t>
            </w:r>
          </w:p>
          <w:p w:rsidR="00A86D7F" w:rsidRPr="00A71F00" w:rsidRDefault="00A86D7F" w:rsidP="00F34DDA">
            <w:pPr>
              <w:autoSpaceDE w:val="0"/>
              <w:autoSpaceDN w:val="0"/>
              <w:adjustRightInd w:val="0"/>
              <w:spacing w:before="10" w:line="317" w:lineRule="exact"/>
              <w:ind w:left="38" w:right="10"/>
              <w:jc w:val="both"/>
              <w:rPr>
                <w:sz w:val="28"/>
                <w:szCs w:val="28"/>
              </w:rPr>
            </w:pPr>
          </w:p>
        </w:tc>
      </w:tr>
      <w:tr w:rsidR="00A86D7F" w:rsidRPr="00587C6F" w:rsidTr="007A33F5">
        <w:trPr>
          <w:trHeight w:val="478"/>
        </w:trPr>
        <w:tc>
          <w:tcPr>
            <w:tcW w:w="284" w:type="dxa"/>
          </w:tcPr>
          <w:p w:rsidR="00A86D7F" w:rsidRDefault="00A86D7F" w:rsidP="00F34DDA">
            <w:pPr>
              <w:pStyle w:val="a3"/>
              <w:spacing w:line="235" w:lineRule="auto"/>
              <w:jc w:val="both"/>
              <w:rPr>
                <w:b w:val="0"/>
                <w:bCs w:val="0"/>
              </w:rPr>
            </w:pPr>
          </w:p>
        </w:tc>
        <w:tc>
          <w:tcPr>
            <w:tcW w:w="10065" w:type="dxa"/>
          </w:tcPr>
          <w:p w:rsidR="00A86D7F" w:rsidRDefault="00A86D7F" w:rsidP="00F34DDA">
            <w:pPr>
              <w:autoSpaceDE w:val="0"/>
              <w:autoSpaceDN w:val="0"/>
              <w:adjustRightInd w:val="0"/>
              <w:spacing w:line="322" w:lineRule="exact"/>
              <w:ind w:left="14" w:right="1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1.4 </w:t>
            </w:r>
            <w:r w:rsidRPr="00BE0BA6">
              <w:rPr>
                <w:sz w:val="28"/>
                <w:szCs w:val="28"/>
              </w:rPr>
              <w:t>Під</w:t>
            </w:r>
            <w:r>
              <w:rPr>
                <w:sz w:val="28"/>
                <w:szCs w:val="28"/>
              </w:rPr>
              <w:t>вищити ефективність</w:t>
            </w:r>
            <w:r w:rsidRPr="00BE0BA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роботи </w:t>
            </w:r>
            <w:r w:rsidRPr="00BE0BA6">
              <w:rPr>
                <w:sz w:val="28"/>
                <w:szCs w:val="28"/>
              </w:rPr>
              <w:t>гарячих теле</w:t>
            </w:r>
            <w:r>
              <w:rPr>
                <w:sz w:val="28"/>
                <w:szCs w:val="28"/>
              </w:rPr>
              <w:t>фонних ліній</w:t>
            </w:r>
            <w:r w:rsidRPr="00BE0BA6">
              <w:rPr>
                <w:sz w:val="28"/>
                <w:szCs w:val="28"/>
              </w:rPr>
              <w:t xml:space="preserve"> для оперативного реагування на нагальні потреби жит</w:t>
            </w:r>
            <w:r>
              <w:rPr>
                <w:sz w:val="28"/>
                <w:szCs w:val="28"/>
              </w:rPr>
              <w:t>елів району</w:t>
            </w:r>
            <w:r w:rsidRPr="00BE0BA6">
              <w:rPr>
                <w:sz w:val="28"/>
                <w:szCs w:val="28"/>
              </w:rPr>
              <w:t>.</w:t>
            </w:r>
          </w:p>
          <w:p w:rsidR="00A86D7F" w:rsidRPr="00BE0BA6" w:rsidRDefault="00A86D7F" w:rsidP="00F34DDA">
            <w:pPr>
              <w:autoSpaceDE w:val="0"/>
              <w:autoSpaceDN w:val="0"/>
              <w:adjustRightInd w:val="0"/>
              <w:spacing w:line="322" w:lineRule="exact"/>
              <w:ind w:left="14" w:right="14"/>
              <w:jc w:val="both"/>
              <w:rPr>
                <w:sz w:val="28"/>
                <w:szCs w:val="28"/>
              </w:rPr>
            </w:pPr>
          </w:p>
        </w:tc>
      </w:tr>
    </w:tbl>
    <w:p w:rsidR="00A86D7F" w:rsidRDefault="00A86D7F" w:rsidP="00A86D7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2. Загальному відділу апарату </w:t>
      </w:r>
      <w:r w:rsidRPr="00CB2384">
        <w:rPr>
          <w:b/>
          <w:sz w:val="28"/>
          <w:szCs w:val="28"/>
        </w:rPr>
        <w:t>Недригайлів</w:t>
      </w:r>
      <w:r>
        <w:rPr>
          <w:b/>
          <w:sz w:val="28"/>
          <w:szCs w:val="28"/>
        </w:rPr>
        <w:t>ської  район</w:t>
      </w:r>
      <w:r w:rsidRPr="00CB2384">
        <w:rPr>
          <w:b/>
          <w:sz w:val="28"/>
          <w:szCs w:val="28"/>
        </w:rPr>
        <w:t xml:space="preserve">ної державної </w:t>
      </w:r>
      <w:r>
        <w:rPr>
          <w:b/>
          <w:sz w:val="28"/>
          <w:szCs w:val="28"/>
        </w:rPr>
        <w:t xml:space="preserve">     </w:t>
      </w:r>
      <w:r w:rsidRPr="00CB2384">
        <w:rPr>
          <w:b/>
          <w:sz w:val="28"/>
          <w:szCs w:val="28"/>
        </w:rPr>
        <w:t>адміністрації:</w:t>
      </w:r>
    </w:p>
    <w:p w:rsidR="00A86D7F" w:rsidRPr="00CB2384" w:rsidRDefault="00A86D7F" w:rsidP="00A86D7F">
      <w:pPr>
        <w:jc w:val="both"/>
        <w:rPr>
          <w:b/>
          <w:sz w:val="28"/>
          <w:szCs w:val="28"/>
        </w:rPr>
      </w:pPr>
    </w:p>
    <w:tbl>
      <w:tblPr>
        <w:tblW w:w="9923" w:type="dxa"/>
        <w:tblInd w:w="108" w:type="dxa"/>
        <w:tblLook w:val="0000" w:firstRow="0" w:lastRow="0" w:firstColumn="0" w:lastColumn="0" w:noHBand="0" w:noVBand="0"/>
      </w:tblPr>
      <w:tblGrid>
        <w:gridCol w:w="9923"/>
      </w:tblGrid>
      <w:tr w:rsidR="00A86D7F" w:rsidRPr="004C514F" w:rsidTr="007A33F5">
        <w:trPr>
          <w:trHeight w:val="544"/>
        </w:trPr>
        <w:tc>
          <w:tcPr>
            <w:tcW w:w="9923" w:type="dxa"/>
          </w:tcPr>
          <w:p w:rsidR="00A86D7F" w:rsidRPr="0035284B" w:rsidRDefault="00A86D7F" w:rsidP="00F34DDA">
            <w:pPr>
              <w:pStyle w:val="a3"/>
              <w:spacing w:line="235" w:lineRule="auto"/>
              <w:ind w:left="-108" w:firstLine="108"/>
              <w:jc w:val="both"/>
              <w:rPr>
                <w:rFonts w:eastAsia="Calibri"/>
                <w:b w:val="0"/>
                <w:szCs w:val="22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 xml:space="preserve">        2.1 Забезпечити виконання вимог постанови Кабінету Міністрів України від </w:t>
            </w:r>
            <w:r w:rsidR="007A33F5">
              <w:rPr>
                <w:rFonts w:eastAsia="Calibri"/>
                <w:b w:val="0"/>
                <w:lang w:eastAsia="en-US"/>
              </w:rPr>
              <w:t xml:space="preserve"> 25.12.2</w:t>
            </w:r>
            <w:r>
              <w:rPr>
                <w:rFonts w:eastAsia="Calibri"/>
                <w:b w:val="0"/>
                <w:lang w:eastAsia="en-US"/>
              </w:rPr>
              <w:t>013</w:t>
            </w:r>
            <w:r w:rsidR="007A33F5">
              <w:rPr>
                <w:rFonts w:eastAsia="Calibri"/>
                <w:b w:val="0"/>
                <w:lang w:eastAsia="en-US"/>
              </w:rPr>
              <w:t xml:space="preserve"> № 958 </w:t>
            </w:r>
            <w:r w:rsidRPr="0035284B">
              <w:rPr>
                <w:rFonts w:eastAsia="Calibri"/>
                <w:b w:val="0"/>
                <w:lang w:eastAsia="en-US"/>
              </w:rPr>
              <w:t xml:space="preserve">щодо </w:t>
            </w:r>
            <w:r w:rsidRPr="0035284B">
              <w:rPr>
                <w:rFonts w:eastAsia="Calibri"/>
                <w:b w:val="0"/>
                <w:szCs w:val="22"/>
                <w:lang w:eastAsia="en-US"/>
              </w:rPr>
              <w:t>впровадження</w:t>
            </w:r>
            <w:r w:rsidR="007A33F5">
              <w:rPr>
                <w:rFonts w:eastAsia="Calibri"/>
                <w:b w:val="0"/>
                <w:szCs w:val="22"/>
                <w:lang w:eastAsia="en-US"/>
              </w:rPr>
              <w:t xml:space="preserve"> державної</w:t>
            </w:r>
            <w:r w:rsidRPr="0035284B">
              <w:rPr>
                <w:rFonts w:eastAsia="Calibri"/>
                <w:b w:val="0"/>
                <w:szCs w:val="22"/>
                <w:lang w:eastAsia="en-US"/>
              </w:rPr>
              <w:t xml:space="preserve"> </w:t>
            </w:r>
            <w:r w:rsidR="007A33F5">
              <w:rPr>
                <w:rFonts w:eastAsia="Calibri"/>
                <w:b w:val="0"/>
                <w:szCs w:val="22"/>
                <w:lang w:eastAsia="en-US"/>
              </w:rPr>
              <w:t>інформаційної системи електронних звернень громадян.</w:t>
            </w:r>
          </w:p>
          <w:tbl>
            <w:tblPr>
              <w:tblStyle w:val="a5"/>
              <w:tblW w:w="0" w:type="auto"/>
              <w:tblInd w:w="6526" w:type="dxa"/>
              <w:tblLook w:val="01E0" w:firstRow="1" w:lastRow="1" w:firstColumn="1" w:lastColumn="1" w:noHBand="0" w:noVBand="0"/>
            </w:tblPr>
            <w:tblGrid>
              <w:gridCol w:w="2577"/>
            </w:tblGrid>
            <w:tr w:rsidR="00A86D7F" w:rsidTr="00F34DDA">
              <w:tc>
                <w:tcPr>
                  <w:tcW w:w="25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86D7F" w:rsidRDefault="00942A77" w:rsidP="00F34DDA">
                  <w:pPr>
                    <w:pStyle w:val="a3"/>
                    <w:spacing w:line="235" w:lineRule="auto"/>
                    <w:jc w:val="both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 xml:space="preserve">         </w:t>
                  </w:r>
                  <w:r w:rsidR="00A86D7F">
                    <w:rPr>
                      <w:b w:val="0"/>
                      <w:bCs w:val="0"/>
                    </w:rPr>
                    <w:t>До 01.02.2014</w:t>
                  </w:r>
                </w:p>
              </w:tc>
            </w:tr>
            <w:tr w:rsidR="007803AC" w:rsidTr="00F34DDA">
              <w:tc>
                <w:tcPr>
                  <w:tcW w:w="25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803AC" w:rsidRDefault="007803AC" w:rsidP="00F34DDA">
                  <w:pPr>
                    <w:pStyle w:val="a3"/>
                    <w:spacing w:line="235" w:lineRule="auto"/>
                    <w:jc w:val="both"/>
                    <w:rPr>
                      <w:b w:val="0"/>
                      <w:bCs w:val="0"/>
                    </w:rPr>
                  </w:pPr>
                </w:p>
              </w:tc>
            </w:tr>
          </w:tbl>
          <w:p w:rsidR="00A86D7F" w:rsidRPr="00B30D29" w:rsidRDefault="00A86D7F" w:rsidP="00F34DDA">
            <w:pPr>
              <w:pStyle w:val="a3"/>
              <w:spacing w:line="235" w:lineRule="auto"/>
              <w:jc w:val="both"/>
              <w:rPr>
                <w:b w:val="0"/>
                <w:bCs w:val="0"/>
              </w:rPr>
            </w:pPr>
          </w:p>
        </w:tc>
      </w:tr>
    </w:tbl>
    <w:p w:rsidR="00A86D7F" w:rsidRPr="007803AC" w:rsidRDefault="007803AC" w:rsidP="00A86D7F">
      <w:pPr>
        <w:rPr>
          <w:b/>
          <w:sz w:val="28"/>
          <w:szCs w:val="28"/>
        </w:rPr>
      </w:pPr>
      <w:r w:rsidRPr="007803AC">
        <w:rPr>
          <w:b/>
          <w:sz w:val="28"/>
          <w:szCs w:val="28"/>
        </w:rPr>
        <w:t>Начальник загального відділу</w:t>
      </w:r>
    </w:p>
    <w:p w:rsidR="00A86D7F" w:rsidRDefault="007803AC" w:rsidP="00A86D7F">
      <w:pPr>
        <w:rPr>
          <w:b/>
          <w:sz w:val="28"/>
          <w:szCs w:val="28"/>
        </w:rPr>
      </w:pPr>
      <w:r w:rsidRPr="007803AC">
        <w:rPr>
          <w:b/>
          <w:sz w:val="28"/>
          <w:szCs w:val="28"/>
        </w:rPr>
        <w:t>апарату</w:t>
      </w:r>
      <w:r w:rsidR="00A86D7F" w:rsidRPr="007803AC">
        <w:rPr>
          <w:b/>
          <w:sz w:val="28"/>
          <w:szCs w:val="28"/>
        </w:rPr>
        <w:t xml:space="preserve"> Недригайлівської</w:t>
      </w:r>
    </w:p>
    <w:p w:rsidR="00FD3C57" w:rsidRPr="00FD3C57" w:rsidRDefault="00A86D7F" w:rsidP="007803A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районної дер</w:t>
      </w:r>
      <w:r w:rsidR="00942A77">
        <w:rPr>
          <w:b/>
          <w:sz w:val="28"/>
          <w:szCs w:val="28"/>
        </w:rPr>
        <w:t xml:space="preserve">жавної адміністрації           </w:t>
      </w:r>
      <w:r>
        <w:rPr>
          <w:b/>
          <w:sz w:val="28"/>
          <w:szCs w:val="28"/>
        </w:rPr>
        <w:t xml:space="preserve">        </w:t>
      </w:r>
      <w:r w:rsidR="00772AE9">
        <w:rPr>
          <w:b/>
          <w:sz w:val="28"/>
          <w:szCs w:val="28"/>
        </w:rPr>
        <w:t xml:space="preserve">                            </w:t>
      </w:r>
      <w:r>
        <w:rPr>
          <w:b/>
          <w:sz w:val="28"/>
          <w:szCs w:val="28"/>
        </w:rPr>
        <w:t xml:space="preserve">   </w:t>
      </w:r>
      <w:r w:rsidR="00772AE9">
        <w:rPr>
          <w:b/>
          <w:sz w:val="28"/>
          <w:szCs w:val="28"/>
        </w:rPr>
        <w:t>І.</w:t>
      </w:r>
      <w:r w:rsidR="007803AC">
        <w:rPr>
          <w:b/>
          <w:sz w:val="28"/>
          <w:szCs w:val="28"/>
        </w:rPr>
        <w:t>М. Маслак</w:t>
      </w:r>
      <w:r w:rsidR="00772AE9">
        <w:rPr>
          <w:b/>
          <w:sz w:val="28"/>
          <w:szCs w:val="28"/>
        </w:rPr>
        <w:t xml:space="preserve"> </w:t>
      </w:r>
    </w:p>
    <w:sectPr w:rsidR="00FD3C57" w:rsidRPr="00FD3C57" w:rsidSect="00BE2F52">
      <w:pgSz w:w="11906" w:h="16838"/>
      <w:pgMar w:top="851" w:right="567" w:bottom="90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6814F5"/>
    <w:multiLevelType w:val="hybridMultilevel"/>
    <w:tmpl w:val="0F6AD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1832"/>
    <w:rsid w:val="000A5030"/>
    <w:rsid w:val="00257C72"/>
    <w:rsid w:val="00287475"/>
    <w:rsid w:val="003C7AC5"/>
    <w:rsid w:val="0040219A"/>
    <w:rsid w:val="00557853"/>
    <w:rsid w:val="00772AE9"/>
    <w:rsid w:val="007803AC"/>
    <w:rsid w:val="007A33F5"/>
    <w:rsid w:val="007C1592"/>
    <w:rsid w:val="00821832"/>
    <w:rsid w:val="008B61BB"/>
    <w:rsid w:val="00942A77"/>
    <w:rsid w:val="009B09B1"/>
    <w:rsid w:val="009B2D0A"/>
    <w:rsid w:val="00A71F00"/>
    <w:rsid w:val="00A86D7F"/>
    <w:rsid w:val="00AD51A6"/>
    <w:rsid w:val="00B15344"/>
    <w:rsid w:val="00B75BAB"/>
    <w:rsid w:val="00B91FAE"/>
    <w:rsid w:val="00CB2384"/>
    <w:rsid w:val="00CC7828"/>
    <w:rsid w:val="00D85984"/>
    <w:rsid w:val="00F218B8"/>
    <w:rsid w:val="00FD3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1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21832"/>
    <w:pPr>
      <w:jc w:val="center"/>
    </w:pPr>
    <w:rPr>
      <w:b/>
      <w:bCs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rsid w:val="00821832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table" w:styleId="a5">
    <w:name w:val="Table Grid"/>
    <w:basedOn w:val="a1"/>
    <w:rsid w:val="008218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B61BB"/>
    <w:pPr>
      <w:ind w:left="720"/>
      <w:contextualSpacing/>
    </w:pPr>
  </w:style>
  <w:style w:type="paragraph" w:styleId="a7">
    <w:name w:val="No Spacing"/>
    <w:uiPriority w:val="1"/>
    <w:qFormat/>
    <w:rsid w:val="00772AE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36E2F-F4AD-4486-8689-EECCDE00C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dcterms:created xsi:type="dcterms:W3CDTF">2014-01-15T16:13:00Z</dcterms:created>
  <dcterms:modified xsi:type="dcterms:W3CDTF">2014-01-28T13:34:00Z</dcterms:modified>
</cp:coreProperties>
</file>