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3A" w:rsidRPr="00801B41" w:rsidRDefault="005B7BF5" w:rsidP="00BF1C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801B4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Публічний звіт голови </w:t>
      </w:r>
      <w:proofErr w:type="spellStart"/>
      <w:r w:rsidRPr="00801B41">
        <w:rPr>
          <w:rFonts w:ascii="Times New Roman" w:hAnsi="Times New Roman" w:cs="Times New Roman"/>
          <w:b/>
          <w:bCs/>
          <w:sz w:val="40"/>
          <w:szCs w:val="40"/>
          <w:lang w:val="uk-UA"/>
        </w:rPr>
        <w:t>Недригайлівської</w:t>
      </w:r>
      <w:proofErr w:type="spellEnd"/>
      <w:r w:rsidRPr="00801B4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районної державної адміністрації про результати роботи за 2018 рік</w:t>
      </w:r>
    </w:p>
    <w:p w:rsidR="005B7BF5" w:rsidRPr="00801B41" w:rsidRDefault="005B7BF5" w:rsidP="00BF1C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</w:p>
    <w:p w:rsidR="00307553" w:rsidRPr="00801B41" w:rsidRDefault="0055086A" w:rsidP="00BF1CC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01B41">
        <w:rPr>
          <w:rFonts w:ascii="Times New Roman" w:hAnsi="Times New Roman" w:cs="Times New Roman"/>
          <w:b/>
          <w:sz w:val="36"/>
          <w:szCs w:val="36"/>
          <w:lang w:val="uk-UA"/>
        </w:rPr>
        <w:t>Шановні</w:t>
      </w:r>
      <w:r w:rsidR="002C313A" w:rsidRPr="00801B4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присутні</w:t>
      </w:r>
      <w:r w:rsidRPr="00801B41">
        <w:rPr>
          <w:rFonts w:ascii="Times New Roman" w:hAnsi="Times New Roman" w:cs="Times New Roman"/>
          <w:b/>
          <w:sz w:val="36"/>
          <w:szCs w:val="36"/>
          <w:lang w:val="uk-UA"/>
        </w:rPr>
        <w:t>!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 xml:space="preserve">Згідно зі статтею 118 Конституції України та Законом України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>„Про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 xml:space="preserve"> місцеві державні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>адміністрації”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 xml:space="preserve"> органами виконавчої влади в областях і районах є</w:t>
      </w:r>
      <w:r w:rsidR="00E62461"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 xml:space="preserve"> місцеві державні адміністрації</w:t>
      </w: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>.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 xml:space="preserve">Місцеві державні адміністрації в межах своїх повноважень здійснюють виконавчу владу на території відповідної адміністративно-територіальної одиниці, а також реалізують повноваження, делеговані їй відповідною радою. 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val="uk-UA"/>
        </w:rPr>
        <w:t>Найважливішими функціями місцевих органів виконавчої влади є забезпечення: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>·</w:t>
      </w: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    </w:t>
      </w: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/>
        </w:rPr>
        <w:t>виконання Конституції, законів України, актів Президента України, Кабінету Міністрів України, інших органів виконавчої влади вищого рівня;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·     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законності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правопорядку,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додержання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прав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свобод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громадян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;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·    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виконання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державних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регіональних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програм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соц</w:t>
      </w:r>
      <w:proofErr w:type="gram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іально-економічного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та культурного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розвитку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;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·     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підготовки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виконання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та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звітів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</w:t>
      </w:r>
      <w:proofErr w:type="gram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ідповідних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бюджетів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та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програм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;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·    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взаємодії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з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органами </w:t>
      </w:r>
      <w:proofErr w:type="spellStart"/>
      <w:proofErr w:type="gram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м</w:t>
      </w:r>
      <w:proofErr w:type="gram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ісцевого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самоврядування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;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·    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реалізації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інших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наданих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державою, а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також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делегованих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відповідними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радами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повноважень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.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Місцеві</w:t>
      </w:r>
      <w:proofErr w:type="spellEnd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державні</w:t>
      </w:r>
      <w:proofErr w:type="spellEnd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адміністрації</w:t>
      </w:r>
      <w:proofErr w:type="spellEnd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діють</w:t>
      </w:r>
      <w:proofErr w:type="spellEnd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відповідно</w:t>
      </w:r>
      <w:proofErr w:type="spellEnd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 до </w:t>
      </w:r>
      <w:proofErr w:type="spellStart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принципів</w:t>
      </w:r>
      <w:proofErr w:type="spellEnd"/>
      <w:r w:rsidRPr="0003218D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:</w:t>
      </w:r>
      <w:r w:rsidRPr="0003218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відповідальності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перед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людиною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державою за свою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діяльність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, верховенства права,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законності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пр</w:t>
      </w:r>
      <w:proofErr w:type="gram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іоритетності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прав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людини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гласності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поєднання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державних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місцевих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інтересів</w:t>
      </w:r>
      <w:proofErr w:type="spellEnd"/>
      <w:r w:rsidRPr="0003218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.</w:t>
      </w:r>
    </w:p>
    <w:p w:rsidR="00F420CB" w:rsidRPr="0003218D" w:rsidRDefault="00F420CB" w:rsidP="00032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3218D">
        <w:rPr>
          <w:rFonts w:ascii="Times New Roman" w:eastAsia="Times New Roman" w:hAnsi="Times New Roman" w:cs="Times New Roman"/>
          <w:sz w:val="32"/>
          <w:szCs w:val="32"/>
        </w:rPr>
        <w:t> </w:t>
      </w:r>
    </w:p>
    <w:p w:rsidR="000C27E0" w:rsidRPr="0003218D" w:rsidRDefault="00F420CB" w:rsidP="00032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sz w:val="32"/>
          <w:szCs w:val="32"/>
        </w:rPr>
        <w:t> </w:t>
      </w:r>
    </w:p>
    <w:p w:rsidR="00853F1F" w:rsidRPr="0003218D" w:rsidRDefault="00D91525" w:rsidP="000321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="0055086A" w:rsidRPr="0003218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</w:t>
      </w:r>
      <w:r w:rsidR="0016004C" w:rsidRPr="0003218D">
        <w:rPr>
          <w:rFonts w:ascii="Times New Roman" w:hAnsi="Times New Roman" w:cs="Times New Roman"/>
          <w:b/>
          <w:sz w:val="32"/>
          <w:szCs w:val="32"/>
          <w:lang w:val="uk-UA"/>
        </w:rPr>
        <w:t>ДЕЦЕНТРАЛІЗАЦІЯ</w:t>
      </w:r>
      <w:r w:rsidR="0016004C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55086A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B2433" w:rsidRPr="0003218D">
        <w:rPr>
          <w:rFonts w:ascii="Times New Roman" w:hAnsi="Times New Roman" w:cs="Times New Roman"/>
          <w:sz w:val="32"/>
          <w:szCs w:val="32"/>
          <w:lang w:val="uk-UA"/>
        </w:rPr>
        <w:t>Починаючи з 2015 року проводилас</w:t>
      </w:r>
      <w:r w:rsidR="00916D15" w:rsidRPr="0003218D">
        <w:rPr>
          <w:rFonts w:ascii="Times New Roman" w:hAnsi="Times New Roman" w:cs="Times New Roman"/>
          <w:sz w:val="32"/>
          <w:szCs w:val="32"/>
          <w:lang w:val="uk-UA"/>
        </w:rPr>
        <w:t>я</w:t>
      </w:r>
      <w:r w:rsidR="00FB2433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робота по створенню об’єднаних територіальних громад  </w:t>
      </w:r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та </w:t>
      </w:r>
      <w:r w:rsidR="009B7585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реалізації на теренах </w:t>
      </w:r>
      <w:proofErr w:type="spellStart"/>
      <w:r w:rsidR="009B7585"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Недригайлівського</w:t>
      </w:r>
      <w:proofErr w:type="spellEnd"/>
      <w:r w:rsidR="009B7585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району </w:t>
      </w:r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реформи </w:t>
      </w:r>
      <w:r w:rsidR="00FB2433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децентралізації. </w:t>
      </w:r>
    </w:p>
    <w:p w:rsidR="001529EB" w:rsidRPr="0003218D" w:rsidRDefault="00FB2433" w:rsidP="0003218D">
      <w:pPr>
        <w:pStyle w:val="a3"/>
        <w:shd w:val="clear" w:color="auto" w:fill="FFFFFF"/>
        <w:tabs>
          <w:tab w:val="left" w:pos="709"/>
        </w:tabs>
        <w:ind w:left="0" w:firstLine="851"/>
        <w:jc w:val="both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>Станом на 01.01.201</w:t>
      </w:r>
      <w:r w:rsidR="00BF1CC6" w:rsidRPr="0003218D">
        <w:rPr>
          <w:rFonts w:ascii="Times New Roman" w:hAnsi="Times New Roman" w:cs="Times New Roman"/>
          <w:sz w:val="32"/>
          <w:szCs w:val="32"/>
          <w:lang w:val="uk-UA"/>
        </w:rPr>
        <w:t>5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року в райо</w:t>
      </w:r>
      <w:r w:rsidR="00C00275" w:rsidRPr="0003218D">
        <w:rPr>
          <w:rFonts w:ascii="Times New Roman" w:hAnsi="Times New Roman" w:cs="Times New Roman"/>
          <w:sz w:val="32"/>
          <w:szCs w:val="32"/>
          <w:lang w:val="uk-UA"/>
        </w:rPr>
        <w:t>ні працювало 2 селищні та 17 сі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ль</w:t>
      </w:r>
      <w:r w:rsidR="00C00275" w:rsidRPr="0003218D">
        <w:rPr>
          <w:rFonts w:ascii="Times New Roman" w:hAnsi="Times New Roman" w:cs="Times New Roman"/>
          <w:sz w:val="32"/>
          <w:szCs w:val="32"/>
          <w:lang w:val="uk-UA"/>
        </w:rPr>
        <w:t>сь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ких рад. </w:t>
      </w:r>
      <w:r w:rsidR="00826FFC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В 2016 році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утворено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Недригайлівську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селищну ОТГ, до складу</w:t>
      </w:r>
      <w:r w:rsidR="00B2535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якої ввійшл</w:t>
      </w:r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="00B2535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1 селищна та 5 сі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ль</w:t>
      </w:r>
      <w:r w:rsidR="00B2535B" w:rsidRPr="0003218D">
        <w:rPr>
          <w:rFonts w:ascii="Times New Roman" w:hAnsi="Times New Roman" w:cs="Times New Roman"/>
          <w:sz w:val="32"/>
          <w:szCs w:val="32"/>
          <w:lang w:val="uk-UA"/>
        </w:rPr>
        <w:t>сь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ких рад. </w:t>
      </w:r>
      <w:r w:rsidR="00826FFC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З початку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2018 року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працюва</w:t>
      </w:r>
      <w:r w:rsidR="00826FFC" w:rsidRPr="0003218D">
        <w:rPr>
          <w:rFonts w:ascii="Times New Roman" w:hAnsi="Times New Roman" w:cs="Times New Roman"/>
          <w:sz w:val="32"/>
          <w:szCs w:val="32"/>
          <w:lang w:val="uk-UA"/>
        </w:rPr>
        <w:t>є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три громади –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Недригайлівська</w:t>
      </w:r>
      <w:proofErr w:type="spellEnd"/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селищна та </w:t>
      </w:r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2 сільські -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Вільшанська</w:t>
      </w:r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(5 сільських рад)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і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Коровинська</w:t>
      </w:r>
      <w:proofErr w:type="spellEnd"/>
      <w:r w:rsidR="00CF2C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(три сільські ради)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F803A8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Територія громад складає  75,5 тис</w:t>
      </w:r>
      <w:r w:rsidR="001529EB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.</w:t>
      </w:r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км </w:t>
      </w:r>
      <w:proofErr w:type="spellStart"/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кв</w:t>
      </w:r>
      <w:proofErr w:type="spellEnd"/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, що становить 75% до території </w:t>
      </w:r>
      <w:proofErr w:type="spellStart"/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Недриг</w:t>
      </w:r>
      <w:r w:rsidR="00826FF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айлівського</w:t>
      </w:r>
      <w:proofErr w:type="spellEnd"/>
      <w:r w:rsidR="00826FF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району. В громадах зареєстровано</w:t>
      </w:r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20,6 тис.  населення з 24,0 тис. </w:t>
      </w:r>
      <w:r w:rsidR="00826FF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осіб, що обліковується </w:t>
      </w:r>
      <w:r w:rsidR="00F803A8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в районі.</w:t>
      </w:r>
      <w:r w:rsidR="00CF2C92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</w:p>
    <w:p w:rsidR="00E62461" w:rsidRPr="0003218D" w:rsidRDefault="0016004C" w:rsidP="0003218D">
      <w:pPr>
        <w:spacing w:after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ФІНАНСИ І БЮДЖЕТ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62461" w:rsidRPr="0003218D">
        <w:rPr>
          <w:rFonts w:ascii="Times New Roman" w:hAnsi="Times New Roman" w:cs="Times New Roman"/>
          <w:sz w:val="32"/>
          <w:szCs w:val="32"/>
        </w:rPr>
        <w:t xml:space="preserve">За  2018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доходів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загального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фонду (без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урахування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міжбюджетних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трансфертів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)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надійшло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26672,4 тис.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грн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Затверджені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показники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по доходах в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цілому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по району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виконані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на 105,5 %,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тобто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додатково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отримано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1389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="00E62461"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="00E62461"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. В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порівнянні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 2017 роком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надходження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збільшились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на 2396,1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="00E62461"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="00E62461"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Прирі</w:t>
      </w:r>
      <w:proofErr w:type="gramStart"/>
      <w:r w:rsidR="00E62461" w:rsidRPr="0003218D">
        <w:rPr>
          <w:rFonts w:ascii="Times New Roman" w:hAnsi="Times New Roman" w:cs="Times New Roman"/>
          <w:sz w:val="32"/>
          <w:szCs w:val="32"/>
        </w:rPr>
        <w:t>ст</w:t>
      </w:r>
      <w:proofErr w:type="spellEnd"/>
      <w:proofErr w:type="gram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2461" w:rsidRPr="0003218D">
        <w:rPr>
          <w:rFonts w:ascii="Times New Roman" w:hAnsi="Times New Roman" w:cs="Times New Roman"/>
          <w:sz w:val="32"/>
          <w:szCs w:val="32"/>
        </w:rPr>
        <w:t>склав</w:t>
      </w:r>
      <w:proofErr w:type="spellEnd"/>
      <w:r w:rsidR="00E62461" w:rsidRPr="0003218D">
        <w:rPr>
          <w:rFonts w:ascii="Times New Roman" w:hAnsi="Times New Roman" w:cs="Times New Roman"/>
          <w:sz w:val="32"/>
          <w:szCs w:val="32"/>
        </w:rPr>
        <w:t xml:space="preserve"> 9,9 %.</w:t>
      </w:r>
    </w:p>
    <w:p w:rsidR="00E62461" w:rsidRPr="0003218D" w:rsidRDefault="00E62461" w:rsidP="0003218D">
      <w:pPr>
        <w:spacing w:after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03218D">
        <w:rPr>
          <w:rFonts w:ascii="Times New Roman" w:hAnsi="Times New Roman" w:cs="Times New Roman"/>
          <w:sz w:val="32"/>
          <w:szCs w:val="32"/>
        </w:rPr>
        <w:t>Вс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сільські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та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селищний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бюджети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виконали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затверджені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показники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Найвищий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відсоток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виконання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 по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Засульській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с/</w:t>
      </w:r>
      <w:proofErr w:type="spellStart"/>
      <w:proofErr w:type="gramStart"/>
      <w:r w:rsidRPr="0003218D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03218D">
        <w:rPr>
          <w:rFonts w:ascii="Times New Roman" w:hAnsi="Times New Roman" w:cs="Times New Roman"/>
          <w:sz w:val="32"/>
          <w:szCs w:val="32"/>
        </w:rPr>
        <w:t xml:space="preserve"> – 113,2% та по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Курманівській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с/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–111,4 %   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Районний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бюджет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виконано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106,8 %.</w:t>
      </w:r>
    </w:p>
    <w:p w:rsidR="00E62461" w:rsidRPr="0003218D" w:rsidRDefault="00E62461" w:rsidP="0003218D">
      <w:pPr>
        <w:spacing w:after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03218D">
        <w:rPr>
          <w:rFonts w:ascii="Times New Roman" w:hAnsi="Times New Roman" w:cs="Times New Roman"/>
          <w:sz w:val="32"/>
          <w:szCs w:val="32"/>
        </w:rPr>
        <w:t>ПДФО (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податку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доходи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фізичних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осіб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)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отримано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12404,9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.-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виконання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склало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106,4 % до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затверджених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показників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В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порівнянні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2017 роком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надходження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збільшилися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2306,4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тис.грн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62461" w:rsidRPr="0003218D" w:rsidRDefault="00E62461" w:rsidP="0003218D">
      <w:pPr>
        <w:spacing w:after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03218D">
        <w:rPr>
          <w:rFonts w:ascii="Times New Roman" w:hAnsi="Times New Roman" w:cs="Times New Roman"/>
          <w:sz w:val="32"/>
          <w:szCs w:val="32"/>
        </w:rPr>
        <w:t xml:space="preserve">Плати за землю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отримано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6375,9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.-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становить 105,5 % до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затверджених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показників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Додатково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отримано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333,6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тис.грн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62461" w:rsidRPr="0003218D" w:rsidRDefault="00E62461" w:rsidP="0003218D">
      <w:pPr>
        <w:spacing w:after="0" w:line="2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Базової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дотації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надійшло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1165,1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.-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100,0 %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передбаченого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показника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.</w:t>
      </w:r>
    </w:p>
    <w:p w:rsidR="00E62461" w:rsidRPr="0003218D" w:rsidRDefault="00E62461" w:rsidP="0003218D">
      <w:pPr>
        <w:spacing w:after="0" w:line="2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Субвенцій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державного бюджету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отримано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загальну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суму 12045,3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при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плані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12045,3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тис.грн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(в т.ч.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освітньої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субвенції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надійшло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5317,4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тис.грн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та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медичної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субвенції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 5793,8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тис.грн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–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кошти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надійшли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повній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мірі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>).</w:t>
      </w:r>
    </w:p>
    <w:p w:rsidR="00E62461" w:rsidRPr="0003218D" w:rsidRDefault="00E62461" w:rsidP="0003218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03218D">
        <w:rPr>
          <w:rFonts w:ascii="Times New Roman" w:hAnsi="Times New Roman" w:cs="Times New Roman"/>
          <w:sz w:val="32"/>
          <w:szCs w:val="32"/>
        </w:rPr>
        <w:t xml:space="preserve">   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Видаткова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частина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бюджету району за 2018 </w:t>
      </w:r>
      <w:proofErr w:type="spellStart"/>
      <w:proofErr w:type="gramStart"/>
      <w:r w:rsidRPr="0003218D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ік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виконана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в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сумі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187391,8 тис.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або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97,8 % до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затверджених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призначень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>.</w:t>
      </w:r>
    </w:p>
    <w:p w:rsidR="00E62461" w:rsidRPr="0003218D" w:rsidRDefault="00E62461" w:rsidP="0003218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03218D">
        <w:rPr>
          <w:rFonts w:ascii="Times New Roman" w:hAnsi="Times New Roman" w:cs="Times New Roman"/>
          <w:sz w:val="32"/>
          <w:szCs w:val="32"/>
        </w:rPr>
        <w:t xml:space="preserve">         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Видатки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державне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управління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проведені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сумі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9947,8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становить 97,3% до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уточнених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призначень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62461" w:rsidRPr="0003218D" w:rsidRDefault="00E62461" w:rsidP="0003218D">
      <w:pPr>
        <w:pStyle w:val="22"/>
        <w:spacing w:after="0" w:line="240" w:lineRule="auto"/>
        <w:ind w:left="0" w:firstLine="720"/>
        <w:jc w:val="both"/>
        <w:rPr>
          <w:sz w:val="32"/>
          <w:szCs w:val="32"/>
        </w:rPr>
      </w:pPr>
      <w:r w:rsidRPr="0003218D">
        <w:rPr>
          <w:sz w:val="32"/>
          <w:szCs w:val="32"/>
        </w:rPr>
        <w:t xml:space="preserve">Видатки на утримання установ  освіти виконані в сумі  15375,5 </w:t>
      </w:r>
      <w:proofErr w:type="spellStart"/>
      <w:r w:rsidRPr="0003218D">
        <w:rPr>
          <w:sz w:val="32"/>
          <w:szCs w:val="32"/>
        </w:rPr>
        <w:t>тис.грн</w:t>
      </w:r>
      <w:proofErr w:type="spellEnd"/>
      <w:r w:rsidRPr="0003218D">
        <w:rPr>
          <w:sz w:val="32"/>
          <w:szCs w:val="32"/>
        </w:rPr>
        <w:t>., що становить 87,4% до уточнених призначень на  рік. Видатки на охорону здоров’я проведені в сумі 38001,1тис. грн. або 99,2%</w:t>
      </w:r>
      <w:r w:rsidRPr="0003218D">
        <w:rPr>
          <w:color w:val="993300"/>
          <w:sz w:val="32"/>
          <w:szCs w:val="32"/>
        </w:rPr>
        <w:t xml:space="preserve"> </w:t>
      </w:r>
      <w:r w:rsidRPr="0003218D">
        <w:rPr>
          <w:sz w:val="32"/>
          <w:szCs w:val="32"/>
        </w:rPr>
        <w:t xml:space="preserve">до уточнених  призначень на  2018 рік. Видатки на соціальний захист проведені в сумі 111979,1 тис. грн. </w:t>
      </w:r>
    </w:p>
    <w:p w:rsidR="00E62461" w:rsidRPr="0003218D" w:rsidRDefault="00E62461" w:rsidP="0003218D">
      <w:pPr>
        <w:pStyle w:val="22"/>
        <w:spacing w:after="0" w:line="240" w:lineRule="auto"/>
        <w:ind w:left="0" w:firstLine="720"/>
        <w:jc w:val="both"/>
        <w:rPr>
          <w:sz w:val="32"/>
          <w:szCs w:val="32"/>
        </w:rPr>
      </w:pPr>
      <w:r w:rsidRPr="0003218D">
        <w:rPr>
          <w:sz w:val="32"/>
          <w:szCs w:val="32"/>
        </w:rPr>
        <w:t xml:space="preserve">Видатки по культурі проведені в сумі 4129,6тис. грн. або 97,2 % до  уточнених  призначень на 2018рік. Видатки на фізичну </w:t>
      </w:r>
      <w:r w:rsidRPr="0003218D">
        <w:rPr>
          <w:sz w:val="32"/>
          <w:szCs w:val="32"/>
        </w:rPr>
        <w:lastRenderedPageBreak/>
        <w:t xml:space="preserve">культуру і спорт проведені в сумі  100,3 тис. грн. або 93,9% до уточнених   призначень на  2018 рік. </w:t>
      </w:r>
    </w:p>
    <w:p w:rsidR="00E62461" w:rsidRPr="0003218D" w:rsidRDefault="00E62461" w:rsidP="0003218D">
      <w:pPr>
        <w:pStyle w:val="22"/>
        <w:spacing w:after="0" w:line="240" w:lineRule="auto"/>
        <w:ind w:left="0" w:firstLine="720"/>
        <w:jc w:val="both"/>
        <w:rPr>
          <w:sz w:val="32"/>
          <w:szCs w:val="32"/>
        </w:rPr>
      </w:pPr>
      <w:r w:rsidRPr="0003218D">
        <w:rPr>
          <w:sz w:val="32"/>
          <w:szCs w:val="32"/>
        </w:rPr>
        <w:t xml:space="preserve">Видатки по ЖКГ проведені в сумі 2343,1 тис. грн., що становить 75,9 </w:t>
      </w:r>
      <w:r w:rsidRPr="008B4DB7">
        <w:rPr>
          <w:sz w:val="32"/>
          <w:szCs w:val="32"/>
        </w:rPr>
        <w:t>%</w:t>
      </w:r>
      <w:r w:rsidRPr="0003218D">
        <w:rPr>
          <w:sz w:val="32"/>
          <w:szCs w:val="32"/>
        </w:rPr>
        <w:t xml:space="preserve"> до уточнених  призначень на 2018рік</w:t>
      </w:r>
    </w:p>
    <w:p w:rsidR="00E62461" w:rsidRPr="0003218D" w:rsidRDefault="00E62461" w:rsidP="0003218D">
      <w:pPr>
        <w:pStyle w:val="22"/>
        <w:spacing w:after="0" w:line="240" w:lineRule="auto"/>
        <w:ind w:left="0"/>
        <w:jc w:val="both"/>
        <w:rPr>
          <w:sz w:val="32"/>
          <w:szCs w:val="32"/>
        </w:rPr>
      </w:pPr>
      <w:r w:rsidRPr="0003218D">
        <w:rPr>
          <w:sz w:val="32"/>
          <w:szCs w:val="32"/>
        </w:rPr>
        <w:t xml:space="preserve">        В цілому по бюджету району на заробітну плату з нарахуваннями направлено коштів в сумі  61556,2тис. грн., що становить 32,82 % до загальної суми проведених видатків, медикаменти – 762,7тис. грн. або 0,4%, продукти харчування – 651,1 тис. грн. або 0,4 %, енергоносії – 4297,1 тис. грн.  або 2,3 %, поточні трансферти органам державного управління  - 5234,1 тис. грн. або 2,8 % загальної суми видатків, соціальне забезпечення – 108586,4тис.грн.або  58,0%.</w:t>
      </w:r>
    </w:p>
    <w:p w:rsidR="0002622A" w:rsidRPr="0003218D" w:rsidRDefault="00E62461" w:rsidP="008B4DB7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</w:rPr>
        <w:t xml:space="preserve">         </w:t>
      </w:r>
      <w:r w:rsidR="00A5360C" w:rsidRPr="0003218D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АГРАРНИЙ СЕКТОР</w:t>
      </w:r>
      <w:r w:rsidR="00A5360C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2A08FB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В районі розвинене аграрне виробництво. Виробництвом  сільськогосподарської продукції займаються 22 сільськогосподарських підприємства та 23 фермерських господарства, які обробляють більше 50 тис. га ріллі  або 80%  від загальної </w:t>
      </w:r>
      <w:r w:rsidR="008E77F1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>її площі</w:t>
      </w:r>
      <w:r w:rsidR="002A08FB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. </w:t>
      </w:r>
      <w:r w:rsidR="0002622A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За 2018 рік по показниках врожайності зернових район зайняв 2 місце в області. Аграріями району проводиться робота по збільшенню вартості оренди земельних ділянок (часток, паїв). Так , за 2018 рік середній відсоток виплати склав 10,7 проти 6,8 за 2017 рік та сплачено орендодавцям 34,4 млн. гривень орендної плати. В 2018 році по соціально-економічних угодах надано фінансової підтримки </w:t>
      </w:r>
      <w:proofErr w:type="spellStart"/>
      <w:r w:rsidR="0002622A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>агрокомпаніями</w:t>
      </w:r>
      <w:proofErr w:type="spellEnd"/>
      <w:r w:rsidR="0002622A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на розвиток сільських територій в сумі  3,6 млн. гривень, що в 1,7 рази більше рівня попереднього року. </w:t>
      </w:r>
    </w:p>
    <w:p w:rsidR="00F0047F" w:rsidRPr="0003218D" w:rsidRDefault="0016004C" w:rsidP="00032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НАД</w:t>
      </w:r>
      <w:r w:rsidR="00E62461" w:rsidRPr="0003218D">
        <w:rPr>
          <w:rFonts w:ascii="Times New Roman" w:hAnsi="Times New Roman" w:cs="Times New Roman"/>
          <w:b/>
          <w:sz w:val="32"/>
          <w:szCs w:val="32"/>
          <w:lang w:val="uk-UA"/>
        </w:rPr>
        <w:t>А</w:t>
      </w: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ННЯ АДМІНІСТРАТИВНИХ ПОСЛУГ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F0047F" w:rsidRPr="0003218D">
        <w:rPr>
          <w:rFonts w:ascii="Times New Roman" w:hAnsi="Times New Roman" w:cs="Times New Roman"/>
          <w:sz w:val="32"/>
          <w:szCs w:val="32"/>
          <w:lang w:val="uk-UA"/>
        </w:rPr>
        <w:t>Забезпечувалася безперебійна робота по наданню населенню адміністративних послуг. За 2018 рік надано 11351 адміністративну послугу, з них державна реєстрація нерухомого майна – 1866, державна реєстрація юридичних та фізичних осіб-підприємців – 125, послуги в сфері архітектури та містобудування – 36,в сфері земельних відносин – 8567 послуг тощо. За рахунок надання таких послуг поповнено районний бюджет в сумі 242,2 тис</w:t>
      </w:r>
      <w:r w:rsidR="00BF1CC6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F0047F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грн., сільські, се</w:t>
      </w:r>
      <w:r w:rsidR="00BF1CC6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лищні бюджети – 107,6 тис грн. </w:t>
      </w:r>
      <w:r w:rsidR="00F0047F" w:rsidRPr="0003218D">
        <w:rPr>
          <w:rFonts w:ascii="Times New Roman" w:hAnsi="Times New Roman" w:cs="Times New Roman"/>
          <w:sz w:val="32"/>
          <w:szCs w:val="32"/>
          <w:lang w:val="uk-UA"/>
        </w:rPr>
        <w:t>та д</w:t>
      </w:r>
      <w:r w:rsidR="00BF1CC6" w:rsidRPr="0003218D">
        <w:rPr>
          <w:rFonts w:ascii="Times New Roman" w:hAnsi="Times New Roman" w:cs="Times New Roman"/>
          <w:sz w:val="32"/>
          <w:szCs w:val="32"/>
          <w:lang w:val="uk-UA"/>
        </w:rPr>
        <w:t>ержавний бюджет – 7,97 тис грн.</w:t>
      </w:r>
    </w:p>
    <w:p w:rsidR="008B4F73" w:rsidRPr="0003218D" w:rsidRDefault="0016004C" w:rsidP="00032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СОЦІАЛЬНА ПОЛІТИКА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8B4F73" w:rsidRPr="0003218D">
        <w:rPr>
          <w:rFonts w:ascii="Times New Roman" w:hAnsi="Times New Roman" w:cs="Times New Roman"/>
          <w:sz w:val="32"/>
          <w:szCs w:val="32"/>
          <w:lang w:val="uk-UA"/>
        </w:rPr>
        <w:t>У 2018 році проводилася чітка державна політика, направлена на максимальне забезпечення населення соціальними послугами.</w:t>
      </w:r>
    </w:p>
    <w:p w:rsidR="008B4F73" w:rsidRPr="0003218D" w:rsidRDefault="008B4F73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Станом на 01 січня 2019 року </w:t>
      </w:r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відсутня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заборгованість із виплати заробітної плати на підприємствах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Недригайлівського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району. У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2018 році середньомісячна заробітна плата зросла на 878 гривень  і склала 5992 гривні.  </w:t>
      </w:r>
    </w:p>
    <w:p w:rsidR="00912988" w:rsidRPr="0003218D" w:rsidRDefault="00912988" w:rsidP="0003218D">
      <w:pPr>
        <w:pStyle w:val="a6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>Субсидію на житлово-комунальні послуги  отримали 4706 сімей, що становить 49,2% від загальної кількості домогосподарств в районі. За 2018 рік нарахована сума субсидій на житлово-комунальні послуги склала 47,1 млн.</w:t>
      </w:r>
      <w:r w:rsidR="00401C74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грн.  </w:t>
      </w:r>
      <w:r w:rsidRPr="0003218D">
        <w:rPr>
          <w:rFonts w:ascii="Times New Roman" w:hAnsi="Times New Roman" w:cs="Times New Roman"/>
          <w:sz w:val="32"/>
          <w:szCs w:val="32"/>
        </w:rPr>
        <w:t xml:space="preserve">У 2018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році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субсидію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придбання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твердого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палива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скрапленого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газу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призначено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823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домогосподарствам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району на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загальну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суму 2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423,3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тис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Середній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розмі</w:t>
      </w:r>
      <w:proofErr w:type="gramStart"/>
      <w:r w:rsidRPr="0003218D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субсидії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готівкою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становить 2944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>. ( у 201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7</w:t>
      </w:r>
      <w:r w:rsidRPr="0003218D">
        <w:rPr>
          <w:rFonts w:ascii="Times New Roman" w:hAnsi="Times New Roman" w:cs="Times New Roman"/>
          <w:sz w:val="32"/>
          <w:szCs w:val="32"/>
        </w:rPr>
        <w:t xml:space="preserve"> – 2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760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грн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>.)</w:t>
      </w:r>
    </w:p>
    <w:p w:rsidR="00912988" w:rsidRPr="0003218D" w:rsidRDefault="00912988" w:rsidP="0003218D">
      <w:pPr>
        <w:pStyle w:val="21"/>
        <w:spacing w:line="240" w:lineRule="auto"/>
        <w:ind w:firstLine="720"/>
        <w:rPr>
          <w:b w:val="0"/>
          <w:bCs/>
          <w:szCs w:val="32"/>
          <w:lang w:val="uk-UA"/>
        </w:rPr>
      </w:pPr>
      <w:r w:rsidRPr="0003218D">
        <w:rPr>
          <w:b w:val="0"/>
          <w:bCs/>
          <w:color w:val="000000"/>
          <w:szCs w:val="32"/>
          <w:shd w:val="clear" w:color="auto" w:fill="FFFFFF"/>
          <w:lang w:val="uk-UA"/>
        </w:rPr>
        <w:t>Багато сімей отримують субсидію згідно рішення комісії по розгляду заяв з питань соціального захисту населення - це сім’ї, які орендують житло, які хочуть, щоб субсидія нараховувалася на фактично проживаючих осіб в домогосподарстві, а також у складі сім’ї є особи працездатного віку, які не працюють. Так протягом 2018 року на районній комісії розглянуто 2089 справ, з них</w:t>
      </w:r>
      <w:r w:rsidRPr="0003218D">
        <w:rPr>
          <w:b w:val="0"/>
          <w:bCs/>
          <w:color w:val="000000"/>
          <w:szCs w:val="32"/>
          <w:shd w:val="clear" w:color="auto" w:fill="FFFFFF"/>
        </w:rPr>
        <w:t> </w:t>
      </w:r>
      <w:r w:rsidRPr="0003218D">
        <w:rPr>
          <w:b w:val="0"/>
          <w:bCs/>
          <w:color w:val="000000"/>
          <w:szCs w:val="32"/>
          <w:shd w:val="clear" w:color="auto" w:fill="FFFFFF"/>
          <w:lang w:val="uk-UA"/>
        </w:rPr>
        <w:t xml:space="preserve"> лише по 29 справам відмовлено у призначені субсидії.</w:t>
      </w:r>
      <w:r w:rsidRPr="0003218D">
        <w:rPr>
          <w:b w:val="0"/>
          <w:bCs/>
          <w:color w:val="000000"/>
          <w:szCs w:val="32"/>
          <w:shd w:val="clear" w:color="auto" w:fill="FFFFFF"/>
        </w:rPr>
        <w:t> </w:t>
      </w:r>
    </w:p>
    <w:p w:rsidR="00912988" w:rsidRPr="0003218D" w:rsidRDefault="00912988" w:rsidP="0003218D">
      <w:pPr>
        <w:pStyle w:val="21"/>
        <w:spacing w:line="240" w:lineRule="auto"/>
        <w:ind w:firstLine="720"/>
        <w:rPr>
          <w:b w:val="0"/>
          <w:bCs/>
          <w:color w:val="000000"/>
          <w:szCs w:val="32"/>
          <w:shd w:val="clear" w:color="auto" w:fill="FFFFFF"/>
          <w:lang w:val="uk-UA"/>
        </w:rPr>
      </w:pPr>
      <w:r w:rsidRPr="0003218D">
        <w:rPr>
          <w:b w:val="0"/>
          <w:bCs/>
          <w:color w:val="000000"/>
          <w:szCs w:val="32"/>
          <w:shd w:val="clear" w:color="auto" w:fill="FFFFFF"/>
          <w:lang w:val="uk-UA"/>
        </w:rPr>
        <w:t>В районі державну підтримку отримують 1476 родин. З них державної допомоги сім’ям з дітьми 762 сім’ї, державної соціальної допомоги малозабезпеченим сім’ям 165 сімей, допомоги інвалідам з дитинства та дітям-інвалідам 241 особі, допомоги по догляду за інвалідами І-ІІ групи внаслідок психічного розладу 42 особам, компенсації за надані соціальні послуги 6, компенсаційної виплати по догляду за інвалідами І групи та престарілими 235, державну соціальну допомогу особам, які не мають права на пенсію та інвалідам отримують 25 осіб.</w:t>
      </w:r>
    </w:p>
    <w:p w:rsidR="00614010" w:rsidRPr="0003218D" w:rsidRDefault="00614010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>Станом на 01 січня 2019 року до бази даних внесено 155 учасників антитерористичної операції та 2 родини загиблих учасників антитерористичної операції.</w:t>
      </w:r>
    </w:p>
    <w:p w:rsidR="00614010" w:rsidRPr="0003218D" w:rsidRDefault="00614010" w:rsidP="0003218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Відповідно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Обласної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програми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03218D">
        <w:rPr>
          <w:rFonts w:ascii="Times New Roman" w:hAnsi="Times New Roman" w:cs="Times New Roman"/>
          <w:sz w:val="32"/>
          <w:szCs w:val="32"/>
        </w:rPr>
        <w:t>соц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іального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захисту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населення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2017-2021 роки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передбачено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кошти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2018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обласного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бюджету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Недригайлівському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району для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забезпечення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твердим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паливом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(дровами)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сімей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учасників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антитерористичної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операції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кошти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сумі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92,5 тис.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гривень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для 37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осіб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За 2018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 37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учасників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АТО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отримали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компенсацію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r w:rsidR="00E10792" w:rsidRPr="0003218D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="00E10792" w:rsidRPr="0003218D">
        <w:rPr>
          <w:rFonts w:ascii="Times New Roman" w:hAnsi="Times New Roman" w:cs="Times New Roman"/>
          <w:sz w:val="32"/>
          <w:szCs w:val="32"/>
        </w:rPr>
        <w:t>розмірі</w:t>
      </w:r>
      <w:proofErr w:type="spellEnd"/>
      <w:r w:rsidR="00E10792" w:rsidRPr="0003218D">
        <w:rPr>
          <w:rFonts w:ascii="Times New Roman" w:hAnsi="Times New Roman" w:cs="Times New Roman"/>
          <w:sz w:val="32"/>
          <w:szCs w:val="32"/>
        </w:rPr>
        <w:t xml:space="preserve"> 2500 </w:t>
      </w:r>
      <w:proofErr w:type="spellStart"/>
      <w:r w:rsidR="00E10792" w:rsidRPr="0003218D">
        <w:rPr>
          <w:rFonts w:ascii="Times New Roman" w:hAnsi="Times New Roman" w:cs="Times New Roman"/>
          <w:sz w:val="32"/>
          <w:szCs w:val="32"/>
        </w:rPr>
        <w:t>гривень</w:t>
      </w:r>
      <w:proofErr w:type="spellEnd"/>
      <w:r w:rsidR="00E10792" w:rsidRPr="0003218D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10792" w:rsidRPr="0003218D" w:rsidRDefault="0016004C" w:rsidP="0003218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ЗЕМЕЛЬНІ ПИТАННЯ.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Проводилася робота щодо забезпечення земельними ділянками учасників АТО. Відділом у </w:t>
      </w:r>
      <w:proofErr w:type="spellStart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Недригайлівському</w:t>
      </w:r>
      <w:proofErr w:type="spellEnd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районі Головного управління </w:t>
      </w:r>
      <w:proofErr w:type="spellStart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Держгеокадастру</w:t>
      </w:r>
      <w:proofErr w:type="spellEnd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в Сумській області надано 201 висновок про </w:t>
      </w:r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погодження проектів </w:t>
      </w:r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lastRenderedPageBreak/>
        <w:t>землеустрою</w:t>
      </w:r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, а Головним управлінням затверджено 183 п</w:t>
      </w:r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>роекти на загальну площу 366 га</w:t>
      </w:r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. В 2018 році в</w:t>
      </w:r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>д</w:t>
      </w:r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алося позитивно вирішити питання щодо надання земельної ділянки матері загиблого воїна АТО </w:t>
      </w:r>
      <w:proofErr w:type="spellStart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Гр</w:t>
      </w:r>
      <w:r w:rsidR="00F07C68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беник</w:t>
      </w:r>
      <w:proofErr w:type="spellEnd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Софії Іванівні. З метою виконання державних соціальних пріоритетів щодо соціального захисту учасників антитерористичної операції, </w:t>
      </w:r>
      <w:proofErr w:type="spellStart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Недригайлівською</w:t>
      </w:r>
      <w:proofErr w:type="spellEnd"/>
      <w:r w:rsidR="00E1079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районною філією Сумського обласного центру зайнятості створений районний центр надання допомоги воїнам АТО . За 2018 </w:t>
      </w:r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за сприяння служби зайнятості </w:t>
      </w:r>
      <w:proofErr w:type="spellStart"/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>працевлаштовано</w:t>
      </w:r>
      <w:proofErr w:type="spellEnd"/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8 осіб, середній розмір допомоги по безробіттю для такої категорії складає 6,4 тис гривень, 2 учасника АТО працювали на громадських роботах  та 1 – на роботах тимчасового характеру, 2 учасники пройшли підвищення кваліфікації.</w:t>
      </w:r>
    </w:p>
    <w:p w:rsidR="001E7FC9" w:rsidRPr="0003218D" w:rsidRDefault="0016004C" w:rsidP="0003218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ЗАЙНЯТІСТЬ НАСЕЛЕННЯ. </w:t>
      </w:r>
      <w:r w:rsidR="001E7FC9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Загалом </w:t>
      </w:r>
      <w:r w:rsidR="00F52EFE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районною службою зайнятості статус безробітного за рік надано 1284 особам, 605 з яких </w:t>
      </w:r>
      <w:proofErr w:type="spellStart"/>
      <w:r w:rsidR="00F52EFE" w:rsidRPr="0003218D">
        <w:rPr>
          <w:rFonts w:ascii="Times New Roman" w:hAnsi="Times New Roman" w:cs="Times New Roman"/>
          <w:sz w:val="32"/>
          <w:szCs w:val="32"/>
          <w:lang w:val="uk-UA"/>
        </w:rPr>
        <w:t>працевлаштовано</w:t>
      </w:r>
      <w:proofErr w:type="spellEnd"/>
      <w:r w:rsidR="00F52EFE" w:rsidRPr="0003218D">
        <w:rPr>
          <w:rFonts w:ascii="Times New Roman" w:hAnsi="Times New Roman" w:cs="Times New Roman"/>
          <w:sz w:val="32"/>
          <w:szCs w:val="32"/>
          <w:lang w:val="uk-UA"/>
        </w:rPr>
        <w:t>, проведено професійне перенавчання 137</w:t>
      </w:r>
      <w:r w:rsidR="00044250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осіб, укладено 41 договір з сі</w:t>
      </w:r>
      <w:r w:rsidR="00F52EFE" w:rsidRPr="0003218D">
        <w:rPr>
          <w:rFonts w:ascii="Times New Roman" w:hAnsi="Times New Roman" w:cs="Times New Roman"/>
          <w:sz w:val="32"/>
          <w:szCs w:val="32"/>
          <w:lang w:val="uk-UA"/>
        </w:rPr>
        <w:t>ль</w:t>
      </w:r>
      <w:r w:rsidR="00044250" w:rsidRPr="0003218D">
        <w:rPr>
          <w:rFonts w:ascii="Times New Roman" w:hAnsi="Times New Roman" w:cs="Times New Roman"/>
          <w:sz w:val="32"/>
          <w:szCs w:val="32"/>
          <w:lang w:val="uk-UA"/>
        </w:rPr>
        <w:t>сь</w:t>
      </w:r>
      <w:r w:rsidR="00F52EFE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кими селищними радами на працевлаштування 373 осіб. За виконання громадських робіт було виплачено 1443,4  тис.  гривень </w:t>
      </w:r>
      <w:r w:rsidR="00D748C3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B96E53" w:rsidRPr="0003218D" w:rsidRDefault="004C0427" w:rsidP="0003218D">
      <w:pPr>
        <w:pStyle w:val="a3"/>
        <w:shd w:val="clear" w:color="auto" w:fill="FFFFFF"/>
        <w:tabs>
          <w:tab w:val="left" w:pos="709"/>
        </w:tabs>
        <w:ind w:left="0"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Район продовжував роботу щодо утеплення навчальних закладів</w:t>
      </w:r>
      <w:r w:rsidR="004A068F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на умовах спів фінансування з державного бюджету (державний фонд регіонального розвитку) та місцевих бюджетів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4A068F" w:rsidRPr="0003218D" w:rsidRDefault="00B96E53" w:rsidP="0003218D">
      <w:pPr>
        <w:pStyle w:val="a3"/>
        <w:shd w:val="clear" w:color="auto" w:fill="FFFFFF"/>
        <w:tabs>
          <w:tab w:val="left" w:pos="709"/>
        </w:tabs>
        <w:ind w:left="0"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Проводилася робота по поліпшенню транспортної та дорожньої інфраструктури. Забезпечено пасажирські перевезення по 7 з 9 приміських внутрішньорайонних маршрутах. </w:t>
      </w:r>
      <w:r w:rsidR="00D748C3" w:rsidRPr="0003218D">
        <w:rPr>
          <w:rFonts w:ascii="Times New Roman" w:hAnsi="Times New Roman" w:cs="Times New Roman"/>
          <w:sz w:val="32"/>
          <w:szCs w:val="32"/>
          <w:lang w:val="uk-UA"/>
        </w:rPr>
        <w:t>На сьогодні н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е проводиться підвіз громадян до сіл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Томашівка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та Рубанка. </w:t>
      </w:r>
      <w:r w:rsidR="004A068F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C10848" w:rsidRPr="0003218D" w:rsidRDefault="00C10848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Виконано робіт по поліпшенню дорожнього покриття по селищній та 4 сільських радах на суму 1948,0 тис. гривень, з них по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Курманівській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сільській раді -  1300 тис. гривень (кошти сільського бюджету та Служби автомобільних доріг); по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Тернівській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селищній раді в межах селища Терни на 450,0 тис. гривень; по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Сакунихській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сільській раді – на 50,0 тис. гривень, по с.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Сакуниха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; по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Засульській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сільській раді – на 148,0 тис. гривень. Проводилася дорожні роботи і по населених пунктах об’єднаних територіальних громад, загальна сума вкладених коштів складає 26300,0 тис. гривень, в тому числі по ремонту а/д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Томашівка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– Рубанка – 18800 тис. гривень.</w:t>
      </w:r>
    </w:p>
    <w:p w:rsidR="00925477" w:rsidRPr="0003218D" w:rsidRDefault="00D748C3" w:rsidP="0003218D">
      <w:pPr>
        <w:pStyle w:val="FR1"/>
        <w:spacing w:before="0"/>
        <w:ind w:left="0"/>
        <w:jc w:val="both"/>
        <w:rPr>
          <w:rFonts w:ascii="Times New Roman" w:hAnsi="Times New Roman"/>
          <w:sz w:val="32"/>
          <w:szCs w:val="32"/>
        </w:rPr>
      </w:pPr>
      <w:r w:rsidRPr="0003218D">
        <w:rPr>
          <w:rFonts w:ascii="Times New Roman" w:hAnsi="Times New Roman"/>
          <w:sz w:val="32"/>
          <w:szCs w:val="32"/>
        </w:rPr>
        <w:t xml:space="preserve">          </w:t>
      </w:r>
      <w:r w:rsidR="00925477" w:rsidRPr="0003218D">
        <w:rPr>
          <w:rFonts w:ascii="Times New Roman" w:hAnsi="Times New Roman"/>
          <w:sz w:val="32"/>
          <w:szCs w:val="32"/>
        </w:rPr>
        <w:t>Протягом 2018 року проводилися роботи з реконструкції вуличного освітлення. За даний період на дані роботи освоєно</w:t>
      </w:r>
      <w:r w:rsidRPr="0003218D">
        <w:rPr>
          <w:rFonts w:ascii="Times New Roman" w:hAnsi="Times New Roman"/>
          <w:sz w:val="32"/>
          <w:szCs w:val="32"/>
        </w:rPr>
        <w:t xml:space="preserve"> </w:t>
      </w:r>
      <w:r w:rsidR="00332432" w:rsidRPr="0003218D">
        <w:rPr>
          <w:rFonts w:ascii="Times New Roman" w:hAnsi="Times New Roman"/>
          <w:sz w:val="32"/>
          <w:szCs w:val="32"/>
        </w:rPr>
        <w:t xml:space="preserve">842,4 </w:t>
      </w:r>
      <w:r w:rsidRPr="0003218D">
        <w:rPr>
          <w:rFonts w:ascii="Times New Roman" w:hAnsi="Times New Roman"/>
          <w:sz w:val="32"/>
          <w:szCs w:val="32"/>
        </w:rPr>
        <w:t>тис гривень, в тому числі по сі</w:t>
      </w:r>
      <w:r w:rsidR="00332432" w:rsidRPr="0003218D">
        <w:rPr>
          <w:rFonts w:ascii="Times New Roman" w:hAnsi="Times New Roman"/>
          <w:sz w:val="32"/>
          <w:szCs w:val="32"/>
        </w:rPr>
        <w:t>ль</w:t>
      </w:r>
      <w:r w:rsidRPr="0003218D">
        <w:rPr>
          <w:rFonts w:ascii="Times New Roman" w:hAnsi="Times New Roman"/>
          <w:sz w:val="32"/>
          <w:szCs w:val="32"/>
        </w:rPr>
        <w:t>сь</w:t>
      </w:r>
      <w:r w:rsidR="00332432" w:rsidRPr="0003218D">
        <w:rPr>
          <w:rFonts w:ascii="Times New Roman" w:hAnsi="Times New Roman"/>
          <w:sz w:val="32"/>
          <w:szCs w:val="32"/>
        </w:rPr>
        <w:t>ких радах – 75,3 тис</w:t>
      </w:r>
      <w:r w:rsidRPr="0003218D">
        <w:rPr>
          <w:rFonts w:ascii="Times New Roman" w:hAnsi="Times New Roman"/>
          <w:sz w:val="32"/>
          <w:szCs w:val="32"/>
        </w:rPr>
        <w:t>.</w:t>
      </w:r>
      <w:r w:rsidR="00332432" w:rsidRPr="0003218D">
        <w:rPr>
          <w:rFonts w:ascii="Times New Roman" w:hAnsi="Times New Roman"/>
          <w:sz w:val="32"/>
          <w:szCs w:val="32"/>
        </w:rPr>
        <w:t xml:space="preserve"> гривень, по  ОТГ</w:t>
      </w:r>
      <w:r w:rsidRPr="0003218D">
        <w:rPr>
          <w:rFonts w:ascii="Times New Roman" w:hAnsi="Times New Roman"/>
          <w:sz w:val="32"/>
          <w:szCs w:val="32"/>
        </w:rPr>
        <w:t xml:space="preserve"> – 767,1 тис. </w:t>
      </w:r>
      <w:r w:rsidR="00332432" w:rsidRPr="0003218D">
        <w:rPr>
          <w:rFonts w:ascii="Times New Roman" w:hAnsi="Times New Roman"/>
          <w:sz w:val="32"/>
          <w:szCs w:val="32"/>
        </w:rPr>
        <w:t>гривень.</w:t>
      </w:r>
    </w:p>
    <w:p w:rsidR="00594017" w:rsidRPr="0003218D" w:rsidRDefault="0016004C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ДЕРЖАВНІ ІНВЕСТИЦІЇ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332432" w:rsidRPr="0003218D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201</w:t>
      </w:r>
      <w:r w:rsidR="00332432" w:rsidRPr="0003218D">
        <w:rPr>
          <w:rFonts w:ascii="Times New Roman" w:hAnsi="Times New Roman" w:cs="Times New Roman"/>
          <w:sz w:val="32"/>
          <w:szCs w:val="32"/>
          <w:lang w:val="uk-UA"/>
        </w:rPr>
        <w:t>8 продовжилася робота по освоєнню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кошт</w:t>
      </w:r>
      <w:r w:rsidR="00332432" w:rsidRPr="0003218D">
        <w:rPr>
          <w:rFonts w:ascii="Times New Roman" w:hAnsi="Times New Roman" w:cs="Times New Roman"/>
          <w:sz w:val="32"/>
          <w:szCs w:val="32"/>
          <w:lang w:val="uk-UA"/>
        </w:rPr>
        <w:t>ів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державного бюджету  на здійснення заходів щодо соціально-економічн</w:t>
      </w:r>
      <w:r w:rsidR="0033243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ого розвитку окремих територій. 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Всього вдалося залучити державних інвестицій в розвиток територій району в сумі 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>924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тис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гривень. Це на придбання дитячого майданчика для </w:t>
      </w:r>
      <w:proofErr w:type="spellStart"/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>Засульського</w:t>
      </w:r>
      <w:proofErr w:type="spellEnd"/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ДНЗ (100,0 тис гривень), меблів для </w:t>
      </w:r>
      <w:proofErr w:type="spellStart"/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>Червонослобідської</w:t>
      </w:r>
      <w:proofErr w:type="spellEnd"/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сільської бібліотеки (50,0 тис гривень), 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твердопаливного котла та звукового обладнання для </w:t>
      </w:r>
      <w:proofErr w:type="spellStart"/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>Тернівського</w:t>
      </w:r>
      <w:proofErr w:type="spellEnd"/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селищного будинку культури  (29 тис грн.), обладнання 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>(440 тис. гривень)</w:t>
      </w:r>
      <w:r w:rsidR="0033677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і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меблів (38,0 тис</w:t>
      </w:r>
      <w:r w:rsidR="0033677B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грн..)</w:t>
      </w:r>
      <w:r w:rsidR="00544F50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>для первинної медичної допомоги</w:t>
      </w:r>
      <w:r w:rsidR="00E96F1B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 w:rsidR="00EF747D" w:rsidRPr="0003218D">
        <w:rPr>
          <w:rFonts w:ascii="Times New Roman" w:hAnsi="Times New Roman" w:cs="Times New Roman"/>
          <w:sz w:val="32"/>
          <w:szCs w:val="32"/>
          <w:lang w:val="uk-UA"/>
        </w:rPr>
        <w:t>тощо.</w:t>
      </w:r>
      <w:r w:rsidR="00594017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В січні 2019 року </w:t>
      </w:r>
      <w:r w:rsidR="00AF11F2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розпорядженням КМУ </w:t>
      </w:r>
      <w:proofErr w:type="spellStart"/>
      <w:r w:rsidR="00594017" w:rsidRPr="0003218D">
        <w:rPr>
          <w:rFonts w:ascii="Times New Roman" w:hAnsi="Times New Roman" w:cs="Times New Roman"/>
          <w:sz w:val="32"/>
          <w:szCs w:val="32"/>
          <w:lang w:val="uk-UA"/>
        </w:rPr>
        <w:t>дофінансовано</w:t>
      </w:r>
      <w:proofErr w:type="spellEnd"/>
      <w:r w:rsidR="00594017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дані об’єкти ще на 495 тис. гривень.</w:t>
      </w:r>
    </w:p>
    <w:p w:rsidR="00594017" w:rsidRPr="0003218D" w:rsidRDefault="00594017" w:rsidP="0003218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</w:t>
      </w:r>
      <w:r w:rsidR="0016004C" w:rsidRPr="0003218D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ОХОРОНА ЗДОРОВЯ </w:t>
      </w:r>
      <w:r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>Проведена робота щодо реформування та по</w:t>
      </w:r>
      <w:r w:rsidR="004D1B78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>лі</w:t>
      </w:r>
      <w:r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>пшення матеріально-технічног</w:t>
      </w:r>
      <w:r w:rsidR="004D1B78"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>о</w:t>
      </w:r>
      <w:r w:rsidRPr="0003218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стану галузі охорони здоров’я.</w:t>
      </w:r>
    </w:p>
    <w:p w:rsidR="00594017" w:rsidRPr="0003218D" w:rsidRDefault="00594017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З 01.12.2018 року ліжковий фонд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Недригайлівської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центральної районної лікарні оптимізовано до 100 ліжок. Кількість ліжок, які підлягали оптимізації – 42, з них 30 ліжок </w:t>
      </w:r>
      <w:r w:rsidR="00336ADE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скорочено і 12 </w:t>
      </w:r>
      <w:proofErr w:type="spellStart"/>
      <w:r w:rsidR="00336ADE" w:rsidRPr="0003218D">
        <w:rPr>
          <w:rFonts w:ascii="Times New Roman" w:hAnsi="Times New Roman" w:cs="Times New Roman"/>
          <w:sz w:val="32"/>
          <w:szCs w:val="32"/>
          <w:lang w:val="uk-UA"/>
        </w:rPr>
        <w:t>перепрофільовано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336ADE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По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36ADE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програмі «Доступні ліки» на 2018 рік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виділено 51,4 тис. гривень, в тому числі додатково – 7, 3тис.грн. для хворих цукровим діабетом ІІ типу.</w:t>
      </w:r>
    </w:p>
    <w:p w:rsidR="00594017" w:rsidRPr="0003218D" w:rsidRDefault="00594017" w:rsidP="0003218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="00AF11F2"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         </w:t>
      </w:r>
      <w:r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Одним із проблемним питань  для </w:t>
      </w:r>
      <w:proofErr w:type="spellStart"/>
      <w:r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>Недригайлівської</w:t>
      </w:r>
      <w:proofErr w:type="spellEnd"/>
      <w:r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центральної районної лікарні і району </w:t>
      </w:r>
      <w:proofErr w:type="spellStart"/>
      <w:r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>вцілому</w:t>
      </w:r>
      <w:proofErr w:type="spellEnd"/>
      <w:r w:rsidRPr="0003218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залишається незабезпеченість медичними працівниками. 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Показник забезпеченості лікарями (фізичними особами) по району станом на 01.01.2019 року складає 21,6 на 10 тис. населення, за 2017 рік цей показник становив 24,6. В ЦРЛ станом на 01.01.2019 року працює 42 лікаря. ЦРЛ не укомплектована такими лікарями спеціалістами: 2 лікаря хірурга, акушер-гінеколог, лікар уролог, лікар кардіолог.</w:t>
      </w:r>
    </w:p>
    <w:p w:rsidR="00594017" w:rsidRPr="0003218D" w:rsidRDefault="00594017" w:rsidP="000321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>Уже  другий рік  заклади первинного рівня медичного обслуговування    працюють над виконанням  Ур</w:t>
      </w:r>
      <w:r w:rsidR="008B4DB7">
        <w:rPr>
          <w:rFonts w:ascii="Times New Roman" w:hAnsi="Times New Roman" w:cs="Times New Roman"/>
          <w:bCs/>
          <w:sz w:val="32"/>
          <w:szCs w:val="32"/>
          <w:lang w:val="uk-UA"/>
        </w:rPr>
        <w:t>ядової програми «Доступні ліки»</w:t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. В 2018 році  на центр первинної медико-санітарної допомоги  виділено 680,7 тис. гривень.        </w:t>
      </w:r>
      <w:proofErr w:type="spellStart"/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>Заключені</w:t>
      </w:r>
      <w:proofErr w:type="spellEnd"/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договори з 5 аптечними закладами. </w:t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br/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ab/>
        <w:t xml:space="preserve">З метою проведення реформування первинної ланки  проведена  організаційна робота , а саме:  реєстрація  закладів центру та структурних підрозділів   в системі  </w:t>
      </w:r>
      <w:proofErr w:type="spellStart"/>
      <w:r w:rsidRPr="0003218D">
        <w:rPr>
          <w:rFonts w:ascii="Times New Roman" w:hAnsi="Times New Roman" w:cs="Times New Roman"/>
          <w:bCs/>
          <w:sz w:val="32"/>
          <w:szCs w:val="32"/>
          <w:lang w:val="en-US"/>
        </w:rPr>
        <w:t>eHealth</w:t>
      </w:r>
      <w:proofErr w:type="spellEnd"/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,  реєстрація   17 лікарів, в тому числі    зовнішніх  сумісників. Кожен лікар отримав електронний підпис. Всі  амбулаторії   підключені  до мережі Інтернет. </w:t>
      </w:r>
      <w:r w:rsidRPr="0003218D">
        <w:rPr>
          <w:rFonts w:ascii="Times New Roman" w:hAnsi="Times New Roman" w:cs="Times New Roman"/>
          <w:bCs/>
          <w:sz w:val="32"/>
          <w:szCs w:val="32"/>
        </w:rPr>
        <w:br/>
      </w:r>
      <w:r w:rsidRPr="0003218D">
        <w:rPr>
          <w:rFonts w:ascii="Times New Roman" w:hAnsi="Times New Roman" w:cs="Times New Roman"/>
          <w:bCs/>
          <w:sz w:val="32"/>
          <w:szCs w:val="32"/>
        </w:rPr>
        <w:tab/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На  17 зареєстрованих лікарів  придбано 14  комп’ютерів, </w:t>
      </w:r>
      <w:r w:rsidR="006B3658" w:rsidRPr="0003218D">
        <w:rPr>
          <w:rFonts w:ascii="Times New Roman" w:hAnsi="Times New Roman" w:cs="Times New Roman"/>
          <w:bCs/>
          <w:sz w:val="32"/>
          <w:szCs w:val="32"/>
          <w:lang w:val="uk-UA"/>
        </w:rPr>
        <w:lastRenderedPageBreak/>
        <w:t>забезпеченість становить 87,5</w:t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%.  Потребують придбання 3 комп'ютери  та багатофункціональні пристрої  для АЗПСМ </w:t>
      </w:r>
      <w:proofErr w:type="spellStart"/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>смт</w:t>
      </w:r>
      <w:proofErr w:type="spellEnd"/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>. Терни та с. Вільшана.</w:t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br/>
        <w:t xml:space="preserve"> </w:t>
      </w:r>
      <w:r w:rsidRPr="0003218D">
        <w:rPr>
          <w:rFonts w:ascii="Times New Roman" w:hAnsi="Times New Roman" w:cs="Times New Roman"/>
          <w:bCs/>
          <w:sz w:val="32"/>
          <w:szCs w:val="32"/>
          <w:lang w:val="uk-UA"/>
        </w:rPr>
        <w:tab/>
        <w:t xml:space="preserve">З червня 2018 року  лікарі приступили  до заповнення декларацій з пацієнтами. Станом на 01.02.2019  заповнено   16834  декларацій, що становить  70,2% від кількості проживаючого населення. </w:t>
      </w:r>
      <w:r w:rsidRPr="0003218D">
        <w:rPr>
          <w:rFonts w:ascii="Times New Roman" w:hAnsi="Times New Roman" w:cs="Times New Roman"/>
          <w:bCs/>
          <w:sz w:val="32"/>
          <w:szCs w:val="32"/>
        </w:rPr>
        <w:br/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ab/>
        <w:t>З метою покращення матеріально-технічної бази закладів первинної ланки медицини в 2018 році отримано субвенції:  з місцевих бюджетів  -</w:t>
      </w:r>
      <w:r w:rsidR="00C526F5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412,7 тис. гривень на обладнання та   209,1 тис. гривень на енергозберігаючі заходи; за рахунок районного бюджету  на АЗПСМ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смт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>. Терни 1184,8 тис. гривень та придбання двох твердопаливних котлів – 9,5 тис. гривень,</w:t>
      </w:r>
      <w:r w:rsidR="00C526F5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 кошти депутатські  – 53,1 тис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. гривень на обладнання та 95,2 тис</w:t>
      </w:r>
      <w:r w:rsidR="00C526F5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гривень для придбання меблів; державний бюджет – 748,1 тис гривень; крім того отримано спонс</w:t>
      </w:r>
      <w:r w:rsidR="00C526F5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орських коштів  в сумі 3,3 тис.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гривень. Всього за звітний  рік отримано та використано на матеріальний розвиток  2776,8 тис</w:t>
      </w:r>
      <w:r w:rsidR="00C526F5" w:rsidRPr="0003218D">
        <w:rPr>
          <w:rFonts w:ascii="Times New Roman" w:hAnsi="Times New Roman" w:cs="Times New Roman"/>
          <w:sz w:val="32"/>
          <w:szCs w:val="32"/>
          <w:lang w:val="uk-UA"/>
        </w:rPr>
        <w:t>. гривень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594017" w:rsidRPr="0003218D" w:rsidRDefault="0016004C" w:rsidP="0003218D">
      <w:pPr>
        <w:pStyle w:val="21"/>
        <w:spacing w:line="240" w:lineRule="auto"/>
        <w:ind w:firstLine="851"/>
        <w:rPr>
          <w:b w:val="0"/>
          <w:szCs w:val="32"/>
          <w:lang w:val="uk-UA"/>
        </w:rPr>
      </w:pPr>
      <w:r w:rsidRPr="0003218D">
        <w:rPr>
          <w:szCs w:val="32"/>
          <w:lang w:val="uk-UA"/>
        </w:rPr>
        <w:t>ОСВІТНІЙ ПРОСТІР</w:t>
      </w:r>
      <w:r w:rsidRPr="0003218D">
        <w:rPr>
          <w:b w:val="0"/>
          <w:szCs w:val="32"/>
          <w:lang w:val="uk-UA"/>
        </w:rPr>
        <w:t xml:space="preserve">  </w:t>
      </w:r>
      <w:r w:rsidR="00594017" w:rsidRPr="0003218D">
        <w:rPr>
          <w:b w:val="0"/>
          <w:szCs w:val="32"/>
          <w:lang w:val="uk-UA"/>
        </w:rPr>
        <w:t xml:space="preserve">По галузі освіти проведена велика робота по зміцненню та наповненню матеріально-технічної бази закладів. В 2018 році закуплено ще один автобус для </w:t>
      </w:r>
      <w:proofErr w:type="spellStart"/>
      <w:r w:rsidR="00594017" w:rsidRPr="0003218D">
        <w:rPr>
          <w:b w:val="0"/>
          <w:szCs w:val="32"/>
          <w:lang w:val="uk-UA"/>
        </w:rPr>
        <w:t>Коровинської</w:t>
      </w:r>
      <w:proofErr w:type="spellEnd"/>
      <w:r w:rsidR="00594017" w:rsidRPr="0003218D">
        <w:rPr>
          <w:b w:val="0"/>
          <w:szCs w:val="32"/>
          <w:lang w:val="uk-UA"/>
        </w:rPr>
        <w:t xml:space="preserve"> ЗОШ І-ІІІ ст. вартістю 1743,7 тис гривень. З утворенням громад та створенням опорних шкіл в районі успішно реалізовується проект «Нова українська школа». В рамках даного проекту придбавалися меблі для класних та ігрових кімнат, обладнання комп’ютерне та мультимедійн</w:t>
      </w:r>
      <w:r w:rsidR="00C526F5" w:rsidRPr="0003218D">
        <w:rPr>
          <w:b w:val="0"/>
          <w:szCs w:val="32"/>
          <w:lang w:val="uk-UA"/>
        </w:rPr>
        <w:t>е, спортивний та інший інвентар</w:t>
      </w:r>
      <w:r w:rsidR="00594017" w:rsidRPr="0003218D">
        <w:rPr>
          <w:b w:val="0"/>
          <w:szCs w:val="32"/>
          <w:lang w:val="uk-UA"/>
        </w:rPr>
        <w:t xml:space="preserve"> тощо. В 2018 роц</w:t>
      </w:r>
      <w:r w:rsidR="007362E7" w:rsidRPr="0003218D">
        <w:rPr>
          <w:b w:val="0"/>
          <w:szCs w:val="32"/>
          <w:lang w:val="uk-UA"/>
        </w:rPr>
        <w:t>і по Вільшанській ЗОШ І-ІІІ ст.</w:t>
      </w:r>
      <w:r w:rsidR="00594017" w:rsidRPr="0003218D">
        <w:rPr>
          <w:b w:val="0"/>
          <w:szCs w:val="32"/>
          <w:lang w:val="uk-UA"/>
        </w:rPr>
        <w:t xml:space="preserve"> по даному проекту фінансування склало </w:t>
      </w:r>
      <w:r w:rsidR="00594017" w:rsidRPr="0003218D">
        <w:rPr>
          <w:rStyle w:val="FontStyle11"/>
          <w:b w:val="0"/>
          <w:sz w:val="32"/>
          <w:szCs w:val="32"/>
          <w:lang w:val="uk-UA" w:eastAsia="uk-UA"/>
        </w:rPr>
        <w:t>1196,2 тис. грн.</w:t>
      </w:r>
      <w:r w:rsidR="00594017" w:rsidRPr="0003218D">
        <w:rPr>
          <w:b w:val="0"/>
          <w:szCs w:val="32"/>
          <w:lang w:val="uk-UA"/>
        </w:rPr>
        <w:t xml:space="preserve">,  по </w:t>
      </w:r>
      <w:proofErr w:type="spellStart"/>
      <w:r w:rsidR="00594017" w:rsidRPr="0003218D">
        <w:rPr>
          <w:b w:val="0"/>
          <w:szCs w:val="32"/>
          <w:lang w:val="uk-UA"/>
        </w:rPr>
        <w:t>Коровинській</w:t>
      </w:r>
      <w:proofErr w:type="spellEnd"/>
      <w:r w:rsidR="00594017" w:rsidRPr="0003218D">
        <w:rPr>
          <w:b w:val="0"/>
          <w:szCs w:val="32"/>
          <w:lang w:val="uk-UA"/>
        </w:rPr>
        <w:t xml:space="preserve"> школі – 530,2 тис гривень, по </w:t>
      </w:r>
      <w:proofErr w:type="spellStart"/>
      <w:r w:rsidR="00594017" w:rsidRPr="0003218D">
        <w:rPr>
          <w:b w:val="0"/>
          <w:szCs w:val="32"/>
          <w:lang w:val="uk-UA"/>
        </w:rPr>
        <w:t>Тернівській</w:t>
      </w:r>
      <w:proofErr w:type="spellEnd"/>
      <w:r w:rsidR="00594017" w:rsidRPr="0003218D">
        <w:rPr>
          <w:b w:val="0"/>
          <w:szCs w:val="32"/>
          <w:lang w:val="uk-UA"/>
        </w:rPr>
        <w:t xml:space="preserve"> ЗОШ І-ІІІ ст. – 500,1 тис. гривень.  </w:t>
      </w:r>
      <w:r w:rsidR="0010545A" w:rsidRPr="0003218D">
        <w:rPr>
          <w:b w:val="0"/>
          <w:szCs w:val="32"/>
          <w:lang w:val="uk-UA"/>
        </w:rPr>
        <w:t xml:space="preserve">Для </w:t>
      </w:r>
      <w:proofErr w:type="spellStart"/>
      <w:r w:rsidR="0010545A" w:rsidRPr="0003218D">
        <w:rPr>
          <w:b w:val="0"/>
          <w:szCs w:val="32"/>
          <w:lang w:val="uk-UA"/>
        </w:rPr>
        <w:t>Тернівської</w:t>
      </w:r>
      <w:proofErr w:type="spellEnd"/>
      <w:r w:rsidR="0010545A" w:rsidRPr="0003218D">
        <w:rPr>
          <w:b w:val="0"/>
          <w:szCs w:val="32"/>
          <w:lang w:val="uk-UA"/>
        </w:rPr>
        <w:t xml:space="preserve"> школи </w:t>
      </w:r>
      <w:r w:rsidR="007362E7" w:rsidRPr="0003218D">
        <w:rPr>
          <w:b w:val="0"/>
          <w:szCs w:val="32"/>
          <w:lang w:val="uk-UA"/>
        </w:rPr>
        <w:t>були передбачені кошти обласного бюджету в сумі 54,5 тис гривень, кошти освітньої субвенції – 445,96 тис гривень, кошти районного бюджету в сумі 6,1 тис гривень. В рамках підготовки в новому освітньому просторі придбано 2 багатофункціональні пристрої, фабрика друку  з комплектами, 18 комплектів меблів та 2 інт</w:t>
      </w:r>
      <w:r w:rsidR="00C526F5" w:rsidRPr="0003218D">
        <w:rPr>
          <w:b w:val="0"/>
          <w:szCs w:val="32"/>
          <w:lang w:val="uk-UA"/>
        </w:rPr>
        <w:t>ерактивні комплекси на суму 155,</w:t>
      </w:r>
      <w:r w:rsidR="007362E7" w:rsidRPr="0003218D">
        <w:rPr>
          <w:b w:val="0"/>
          <w:szCs w:val="32"/>
          <w:lang w:val="uk-UA"/>
        </w:rPr>
        <w:t>1 тис</w:t>
      </w:r>
      <w:r w:rsidR="00C526F5" w:rsidRPr="0003218D">
        <w:rPr>
          <w:b w:val="0"/>
          <w:szCs w:val="32"/>
          <w:lang w:val="uk-UA"/>
        </w:rPr>
        <w:t>.</w:t>
      </w:r>
      <w:r w:rsidR="007362E7" w:rsidRPr="0003218D">
        <w:rPr>
          <w:b w:val="0"/>
          <w:szCs w:val="32"/>
          <w:lang w:val="uk-UA"/>
        </w:rPr>
        <w:t xml:space="preserve"> гривень, з них кошти обласного бюджету – 23,6 тис</w:t>
      </w:r>
      <w:r w:rsidR="00C526F5" w:rsidRPr="0003218D">
        <w:rPr>
          <w:b w:val="0"/>
          <w:szCs w:val="32"/>
          <w:lang w:val="uk-UA"/>
        </w:rPr>
        <w:t xml:space="preserve">. гривень, 131,5 тис. </w:t>
      </w:r>
      <w:r w:rsidR="007362E7" w:rsidRPr="0003218D">
        <w:rPr>
          <w:b w:val="0"/>
          <w:szCs w:val="32"/>
          <w:lang w:val="uk-UA"/>
        </w:rPr>
        <w:t xml:space="preserve">гривень – кошти районного бюджету. Також проведено закупівлю  2 </w:t>
      </w:r>
      <w:r w:rsidR="00C526F5" w:rsidRPr="0003218D">
        <w:rPr>
          <w:b w:val="0"/>
          <w:szCs w:val="32"/>
          <w:lang w:val="uk-UA"/>
        </w:rPr>
        <w:t>дощок</w:t>
      </w:r>
      <w:r w:rsidR="007362E7" w:rsidRPr="0003218D">
        <w:rPr>
          <w:b w:val="0"/>
          <w:szCs w:val="32"/>
          <w:lang w:val="uk-UA"/>
        </w:rPr>
        <w:t xml:space="preserve"> стаціонарних, 80 наборів дидактичного матеріалу, 36 планшетів та іншого придбання  на загальну суму 286,4 </w:t>
      </w:r>
      <w:r w:rsidR="00F718AD" w:rsidRPr="0003218D">
        <w:rPr>
          <w:b w:val="0"/>
          <w:szCs w:val="32"/>
          <w:lang w:val="uk-UA"/>
        </w:rPr>
        <w:t>тис гривень.</w:t>
      </w:r>
    </w:p>
    <w:p w:rsidR="00112A16" w:rsidRPr="0003218D" w:rsidRDefault="00B14FDF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В 2018 році для закладів культури та  поліпшення їх матеріального стану виділено коштів різних </w:t>
      </w:r>
      <w:r w:rsidR="00D81641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джерел фінансування в </w:t>
      </w:r>
      <w:r w:rsidR="00D81641" w:rsidRPr="0003218D">
        <w:rPr>
          <w:rFonts w:ascii="Times New Roman" w:hAnsi="Times New Roman" w:cs="Times New Roman"/>
          <w:sz w:val="32"/>
          <w:szCs w:val="32"/>
          <w:lang w:val="uk-UA"/>
        </w:rPr>
        <w:lastRenderedPageBreak/>
        <w:t>сумі 260,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0 тис</w:t>
      </w:r>
      <w:r w:rsidR="00D81641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гривень, з них 100 тис. гривень – </w:t>
      </w:r>
      <w:r w:rsidR="00F30884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проведено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ремонт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Курманівського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сільського будинку культури.</w:t>
      </w:r>
    </w:p>
    <w:p w:rsidR="00E65008" w:rsidRPr="0003218D" w:rsidRDefault="0016004C" w:rsidP="0003218D">
      <w:pPr>
        <w:pStyle w:val="21"/>
        <w:spacing w:line="240" w:lineRule="auto"/>
        <w:ind w:firstLine="851"/>
        <w:rPr>
          <w:b w:val="0"/>
          <w:szCs w:val="32"/>
          <w:lang w:val="uk-UA"/>
        </w:rPr>
      </w:pPr>
      <w:r w:rsidRPr="0003218D">
        <w:rPr>
          <w:szCs w:val="32"/>
          <w:lang w:val="uk-UA"/>
        </w:rPr>
        <w:t>ФІЗИЧНА КУЛТУРА І СПОРТ</w:t>
      </w:r>
      <w:r w:rsidRPr="0003218D">
        <w:rPr>
          <w:b w:val="0"/>
          <w:szCs w:val="32"/>
          <w:lang w:val="uk-UA"/>
        </w:rPr>
        <w:t xml:space="preserve">. </w:t>
      </w:r>
      <w:r w:rsidR="00A011B0" w:rsidRPr="0003218D">
        <w:rPr>
          <w:b w:val="0"/>
          <w:szCs w:val="32"/>
          <w:lang w:val="uk-UA"/>
        </w:rPr>
        <w:t>Протягом 2018 року поліпшилася робота в галу</w:t>
      </w:r>
      <w:r w:rsidR="00D81641" w:rsidRPr="0003218D">
        <w:rPr>
          <w:b w:val="0"/>
          <w:szCs w:val="32"/>
          <w:lang w:val="uk-UA"/>
        </w:rPr>
        <w:t>зі</w:t>
      </w:r>
      <w:r w:rsidR="00A011B0" w:rsidRPr="0003218D">
        <w:rPr>
          <w:b w:val="0"/>
          <w:szCs w:val="32"/>
          <w:lang w:val="uk-UA"/>
        </w:rPr>
        <w:t xml:space="preserve"> фізичної культури і спорту та молодіжної політики. За рахунок збільшення фінансування спортивної галузі в 4,4 рази вдалося збільшити кількість проведених заходів з 10 в 2014 до 30 в 2018, збільшено відсоток охоплення населення до занять фізичною культурою і спортом з 45 до 62.</w:t>
      </w:r>
    </w:p>
    <w:p w:rsidR="00A011B0" w:rsidRPr="0003218D" w:rsidRDefault="00A011B0" w:rsidP="0003218D">
      <w:pPr>
        <w:pStyle w:val="21"/>
        <w:spacing w:line="240" w:lineRule="auto"/>
        <w:ind w:firstLine="851"/>
        <w:rPr>
          <w:b w:val="0"/>
          <w:szCs w:val="32"/>
          <w:lang w:val="uk-UA"/>
        </w:rPr>
      </w:pPr>
      <w:r w:rsidRPr="0003218D">
        <w:rPr>
          <w:b w:val="0"/>
          <w:szCs w:val="32"/>
          <w:lang w:val="uk-UA"/>
        </w:rPr>
        <w:t xml:space="preserve">Одним з наймасовіших та найцікавіших для молоді заходом на </w:t>
      </w:r>
      <w:proofErr w:type="spellStart"/>
      <w:r w:rsidRPr="0003218D">
        <w:rPr>
          <w:b w:val="0"/>
          <w:szCs w:val="32"/>
          <w:lang w:val="uk-UA"/>
        </w:rPr>
        <w:t>Недригайлівщині</w:t>
      </w:r>
      <w:proofErr w:type="spellEnd"/>
      <w:r w:rsidRPr="0003218D">
        <w:rPr>
          <w:b w:val="0"/>
          <w:szCs w:val="32"/>
          <w:lang w:val="uk-UA"/>
        </w:rPr>
        <w:t xml:space="preserve"> став туристичний зліт молоді. В  2018 ро</w:t>
      </w:r>
      <w:r w:rsidR="008E2BDE" w:rsidRPr="0003218D">
        <w:rPr>
          <w:b w:val="0"/>
          <w:szCs w:val="32"/>
          <w:lang w:val="uk-UA"/>
        </w:rPr>
        <w:t xml:space="preserve">ці, як і в попередньому </w:t>
      </w:r>
      <w:r w:rsidRPr="0003218D">
        <w:rPr>
          <w:b w:val="0"/>
          <w:szCs w:val="32"/>
          <w:lang w:val="uk-UA"/>
        </w:rPr>
        <w:t xml:space="preserve"> даний захід був проведений на обласному рівні із залученням коштів обласного </w:t>
      </w:r>
      <w:r w:rsidR="00FB7F37" w:rsidRPr="0003218D">
        <w:rPr>
          <w:b w:val="0"/>
          <w:szCs w:val="32"/>
          <w:lang w:val="uk-UA"/>
        </w:rPr>
        <w:t>бюджету  сумі</w:t>
      </w:r>
      <w:r w:rsidR="008E2BDE" w:rsidRPr="0003218D">
        <w:rPr>
          <w:b w:val="0"/>
          <w:szCs w:val="32"/>
          <w:lang w:val="uk-UA"/>
        </w:rPr>
        <w:t xml:space="preserve"> </w:t>
      </w:r>
      <w:r w:rsidRPr="0003218D">
        <w:rPr>
          <w:b w:val="0"/>
          <w:szCs w:val="32"/>
          <w:lang w:val="uk-UA"/>
        </w:rPr>
        <w:t xml:space="preserve"> 20 тис. гривень</w:t>
      </w:r>
      <w:r w:rsidR="00781F79" w:rsidRPr="0003218D">
        <w:rPr>
          <w:b w:val="0"/>
          <w:szCs w:val="32"/>
          <w:lang w:val="uk-UA"/>
        </w:rPr>
        <w:t xml:space="preserve">. Чисельність населення залученого до виконання районної цільової програми «Молодь </w:t>
      </w:r>
      <w:proofErr w:type="spellStart"/>
      <w:r w:rsidR="00781F79" w:rsidRPr="0003218D">
        <w:rPr>
          <w:b w:val="0"/>
          <w:szCs w:val="32"/>
          <w:lang w:val="uk-UA"/>
        </w:rPr>
        <w:t>Недригайлівщини</w:t>
      </w:r>
      <w:proofErr w:type="spellEnd"/>
      <w:r w:rsidR="00781F79" w:rsidRPr="0003218D">
        <w:rPr>
          <w:b w:val="0"/>
          <w:szCs w:val="32"/>
          <w:lang w:val="uk-UA"/>
        </w:rPr>
        <w:t>» зріс на 57 відсотків.</w:t>
      </w:r>
    </w:p>
    <w:p w:rsidR="0089461B" w:rsidRPr="0003218D" w:rsidRDefault="0089461B" w:rsidP="0003218D">
      <w:pPr>
        <w:pStyle w:val="21"/>
        <w:spacing w:line="240" w:lineRule="auto"/>
        <w:ind w:firstLine="851"/>
        <w:rPr>
          <w:szCs w:val="32"/>
          <w:lang w:val="uk-UA"/>
        </w:rPr>
      </w:pPr>
      <w:r w:rsidRPr="0003218D">
        <w:rPr>
          <w:szCs w:val="32"/>
          <w:lang w:val="uk-UA"/>
        </w:rPr>
        <w:t>НОВІ ЗАКЛАДИ.</w:t>
      </w:r>
    </w:p>
    <w:p w:rsidR="007D313C" w:rsidRPr="0003218D" w:rsidRDefault="00C924E8" w:rsidP="0003218D">
      <w:pPr>
        <w:pStyle w:val="HTML"/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В 2018 році відкрито 3 нових заклади  </w:t>
      </w:r>
      <w:r w:rsidR="00FB7F37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в с. </w:t>
      </w:r>
      <w:proofErr w:type="spellStart"/>
      <w:r w:rsidR="00FB7F37" w:rsidRPr="0003218D">
        <w:rPr>
          <w:rFonts w:ascii="Times New Roman" w:hAnsi="Times New Roman" w:cs="Times New Roman"/>
          <w:sz w:val="32"/>
          <w:szCs w:val="32"/>
          <w:lang w:val="uk-UA"/>
        </w:rPr>
        <w:t>Хоружівці</w:t>
      </w:r>
      <w:proofErr w:type="spellEnd"/>
      <w:r w:rsidR="00FB7F37"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482219" w:rsidRPr="0003218D">
        <w:rPr>
          <w:rFonts w:ascii="Times New Roman" w:hAnsi="Times New Roman" w:cs="Times New Roman"/>
          <w:sz w:val="32"/>
          <w:szCs w:val="32"/>
          <w:lang w:val="uk-UA"/>
        </w:rPr>
        <w:t>к</w:t>
      </w:r>
      <w:r w:rsidR="00FB7F37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омунальний</w:t>
      </w:r>
      <w:proofErr w:type="spellEnd"/>
      <w:r w:rsidR="00FB7F37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заклад Сум</w:t>
      </w:r>
      <w:r w:rsidR="00482219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ської обласної ради  </w:t>
      </w:r>
      <w:proofErr w:type="spellStart"/>
      <w:r w:rsidR="00482219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Хоружівський</w:t>
      </w:r>
      <w:proofErr w:type="spellEnd"/>
      <w:r w:rsidR="00FB7F37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центр соціально-психологічної реабілітації дітей області, </w:t>
      </w:r>
      <w:r w:rsidR="00482219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ц</w:t>
      </w:r>
      <w:r w:rsidR="00FB7F37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ентр сприяння розвитку об’єднаних територіальних громад Державної служби зайнятості у Сумській області на базі навчального відділення Державного навчального закладу «Сумський центр професійно-технічної освіти Державної служби зайнятості»</w:t>
      </w:r>
      <w:r w:rsidR="00CE42A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482219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та п</w:t>
      </w:r>
      <w:r w:rsidR="00CE42A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оліцейську станцію </w:t>
      </w:r>
      <w:proofErr w:type="spellStart"/>
      <w:r w:rsidR="00CE42A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Недригайлівського</w:t>
      </w:r>
      <w:proofErr w:type="spellEnd"/>
      <w:r w:rsidR="00CE42A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ВП Роменського ВП </w:t>
      </w:r>
      <w:proofErr w:type="spellStart"/>
      <w:r w:rsidR="00CE42A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ГУНП</w:t>
      </w:r>
      <w:proofErr w:type="spellEnd"/>
      <w:r w:rsidR="00CE42A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України у Сумській області</w:t>
      </w:r>
      <w:r w:rsidR="0071654C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.</w:t>
      </w:r>
    </w:p>
    <w:p w:rsidR="007D313C" w:rsidRPr="0003218D" w:rsidRDefault="0089461B" w:rsidP="0003218D">
      <w:pPr>
        <w:pStyle w:val="HTML"/>
        <w:shd w:val="clear" w:color="auto" w:fill="FFFFFF"/>
        <w:ind w:firstLine="851"/>
        <w:jc w:val="both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ПЕРСПЕКТИВИ 2019 РОКУ</w:t>
      </w:r>
    </w:p>
    <w:p w:rsidR="009F2C5C" w:rsidRPr="00935958" w:rsidRDefault="007D313C" w:rsidP="0003218D">
      <w:pPr>
        <w:pStyle w:val="HTML"/>
        <w:shd w:val="clear" w:color="auto" w:fill="FFFFFF"/>
        <w:ind w:firstLine="851"/>
        <w:jc w:val="both"/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В районі намічені основні проектні завдання та ініціативи з метою створення перспективи розвитку території та громад на 2019</w:t>
      </w:r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рік. Затверджена  Програма </w:t>
      </w:r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економічного і соціального розвитку </w:t>
      </w:r>
      <w:proofErr w:type="spellStart"/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Недригайлівського</w:t>
      </w:r>
      <w:proofErr w:type="spellEnd"/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району на 2019 та програмні 2020-2021 роки</w:t>
      </w:r>
      <w:r w:rsidR="005B44E6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, в як</w:t>
      </w:r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ій</w:t>
      </w:r>
      <w:r w:rsidR="005B44E6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 </w:t>
      </w:r>
      <w:r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сформовані</w:t>
      </w:r>
      <w:r w:rsidR="005B44E6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за сферами та галузями основні пріоритети, які розпочаті в 2018 році  або плануються реалізо</w:t>
      </w:r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вуватися з 2019 році, затверджений районний бюджет. </w:t>
      </w:r>
      <w:r w:rsidR="005B44E6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За рахунок сформованого вільного залишку за 2018 рік, зекономлені кошти планується направити на поліпшення матеріально-технічної бази </w:t>
      </w:r>
      <w:proofErr w:type="spellStart"/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Тернівської</w:t>
      </w:r>
      <w:proofErr w:type="spellEnd"/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школи мистецтв, </w:t>
      </w:r>
      <w:proofErr w:type="spellStart"/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Недригайлівської</w:t>
      </w:r>
      <w:proofErr w:type="spellEnd"/>
      <w:r w:rsidR="00207A5F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центральної районної лікарні, дитячих садочків, розпочати роботу по розробленню схеми планування району тощо. Є закріплена домовленість депутатів районної ради направити консолідовано кошти на виконан</w:t>
      </w:r>
      <w:r w:rsidR="0089461B" w:rsidRPr="0003218D">
        <w:rPr>
          <w:rFonts w:ascii="Times New Roman" w:hAnsi="Times New Roman" w:cs="Times New Roman"/>
          <w:color w:val="000000"/>
          <w:sz w:val="32"/>
          <w:szCs w:val="32"/>
          <w:lang w:val="uk-UA"/>
        </w:rPr>
        <w:t>ня депутатських повноважень</w:t>
      </w:r>
      <w:r w:rsidR="00F07C68">
        <w:rPr>
          <w:rFonts w:ascii="Times New Roman" w:hAnsi="Times New Roman" w:cs="Times New Roman"/>
          <w:color w:val="000000"/>
          <w:sz w:val="32"/>
          <w:szCs w:val="32"/>
          <w:lang w:val="uk-UA"/>
        </w:rPr>
        <w:t>.</w:t>
      </w:r>
    </w:p>
    <w:p w:rsidR="003B188E" w:rsidRPr="0003218D" w:rsidRDefault="003B188E" w:rsidP="0003218D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</w:pPr>
      <w:r w:rsidRPr="0003218D">
        <w:rPr>
          <w:rFonts w:ascii="Times New Roman" w:eastAsia="MS Mincho" w:hAnsi="Times New Roman" w:cs="Times New Roman"/>
          <w:b/>
          <w:color w:val="000000"/>
          <w:sz w:val="32"/>
          <w:szCs w:val="32"/>
          <w:lang w:val="uk-UA"/>
        </w:rPr>
        <w:lastRenderedPageBreak/>
        <w:t>ПРАВОПОРЯДОК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Протягом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 201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>8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року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>Недригайлівською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районною державною адміністрацією в межах повноважень проводилася робота щодо забезпечення законності та правопорядку на території району. Вжитими заходами, спільно з правоохоронними органами, органами місцевого самоврядування вдалося знизити рівень злочинності на території району. Всього у 2018 році  зареєстровано </w:t>
      </w:r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273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заяви та повідомлен</w:t>
      </w:r>
      <w:r w:rsidR="0089461B"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>ня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ознаками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кримінального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правопорушення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що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на 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>72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кримінальних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правопорушеня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 або  20,8% 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менше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ніж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за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аналогічний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період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минулого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року.</w:t>
      </w:r>
    </w:p>
    <w:p w:rsidR="003B188E" w:rsidRPr="0003218D" w:rsidRDefault="003B188E" w:rsidP="000321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</w:pP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Завдяки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спільно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проведеними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proofErr w:type="gram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проф</w:t>
      </w:r>
      <w:proofErr w:type="gram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ілактичними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заходами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спрямованими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на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попередження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та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недопущення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вчинення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кримінальних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правопорушень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за 12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місяців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2018 року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зменшилась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кількість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вчинених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грабежів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4 до 2, 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крадіжок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117 до 66, в тому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числі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квартир,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приватних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будинків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з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35 до 20,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шахрайств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– 17 до 11, не допущено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скоєння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розбоїв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вимагань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, 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>хуліганств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>.</w:t>
      </w:r>
      <w:r w:rsidRPr="0003218D">
        <w:rPr>
          <w:rFonts w:ascii="Times New Roman" w:eastAsia="MS Mincho" w:hAnsi="Times New Roman" w:cs="Times New Roman"/>
          <w:color w:val="000000"/>
          <w:sz w:val="32"/>
          <w:szCs w:val="32"/>
        </w:rPr>
        <w:t xml:space="preserve"> </w:t>
      </w:r>
    </w:p>
    <w:p w:rsidR="003B188E" w:rsidRPr="0003218D" w:rsidRDefault="003B188E" w:rsidP="000321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</w:pPr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В той, же час викликає занепокоєння скоєння протягом року умисних убивств, тяжких тілесних ушкоджень, в тому числі зі смертю потерпілого. В цьому напрямку </w:t>
      </w:r>
      <w:proofErr w:type="spellStart"/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>Недригайлівському</w:t>
      </w:r>
      <w:proofErr w:type="spellEnd"/>
      <w:r w:rsidRPr="0003218D">
        <w:rPr>
          <w:rFonts w:ascii="Times New Roman" w:eastAsia="MS Mincho" w:hAnsi="Times New Roman" w:cs="Times New Roman"/>
          <w:color w:val="000000"/>
          <w:sz w:val="32"/>
          <w:szCs w:val="32"/>
          <w:lang w:val="uk-UA"/>
        </w:rPr>
        <w:t xml:space="preserve"> відділенню поліції, сільським, селищним головам необхідно проводити профілактичну роботу з особами, що стоять на обліку та ведуть антисоціальний спосіб життя.</w:t>
      </w:r>
    </w:p>
    <w:p w:rsidR="009F2C5C" w:rsidRPr="0003218D" w:rsidRDefault="009F2C5C" w:rsidP="0003218D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       </w:t>
      </w:r>
      <w:r w:rsidR="0016004C" w:rsidRPr="0003218D">
        <w:rPr>
          <w:rFonts w:ascii="Times New Roman" w:hAnsi="Times New Roman" w:cs="Times New Roman"/>
          <w:b/>
          <w:sz w:val="32"/>
          <w:szCs w:val="32"/>
          <w:lang w:val="uk-UA"/>
        </w:rPr>
        <w:t>РОБОТА АПАРАТУ РДА</w:t>
      </w:r>
      <w:r w:rsidR="0016004C" w:rsidRPr="0003218D">
        <w:rPr>
          <w:rFonts w:ascii="Times New Roman" w:hAnsi="Times New Roman" w:cs="Times New Roman"/>
          <w:color w:val="FF0000"/>
          <w:sz w:val="32"/>
          <w:szCs w:val="32"/>
          <w:lang w:val="uk-UA"/>
        </w:rPr>
        <w:t>.</w:t>
      </w:r>
      <w:r w:rsidRPr="0003218D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  </w:t>
      </w:r>
      <w:r w:rsidRPr="0003218D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Найбільш актуальні  питання життєдіяльності району ми намагаємося вирішувати колегіально. Протягом  2018 року було проведено  13 засідань колегії  </w:t>
      </w:r>
      <w:proofErr w:type="spellStart"/>
      <w:r w:rsidRPr="0003218D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Недригайлівської</w:t>
      </w:r>
      <w:proofErr w:type="spellEnd"/>
      <w:r w:rsidRPr="0003218D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районної державної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адміністрації, з них 1 виїзна,  на яких розглянуто  30 питань,</w:t>
      </w:r>
      <w:r w:rsidRPr="0003218D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серед яких  питання економічного  і соціального  розвитку району та виконання бюджету, використання земельних ресурсів, підготовки об’єктів житлово-комунального господарства та соціальної сфери до роботи в осінньо-зимовий період, питання надання медичної допомоги населенню, соціального захисту учасників АТО та членів їх сімей, захисту прав дітей-сиріт та дітей позбавлених батьківського піклування, питання правопорядку інші. За результатами розгляду яких видано  29 - розпоряджень, 1 – протокольне доручення.</w:t>
      </w:r>
      <w:r w:rsidRPr="0003218D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Всього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в 201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8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році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головою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районної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державної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адміністрації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видано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745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розпоряджень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, 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89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яких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взято на контроль.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Крім того, проводяться наради з сільськими, селищними   головами, керівниками підприємств, установ, організацій, на яких розглядаються різнобічні питання життєдіяльності району.</w:t>
      </w:r>
    </w:p>
    <w:p w:rsidR="009F2C5C" w:rsidRPr="0003218D" w:rsidRDefault="009F2C5C" w:rsidP="0003218D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             Районна державна адміністрація намагається проводити чітку системну роботу з кадрами у відповідності до вимог Закону України «Про державну службу».</w:t>
      </w:r>
    </w:p>
    <w:p w:rsidR="009F2C5C" w:rsidRPr="0003218D" w:rsidRDefault="009F2C5C" w:rsidP="0003218D">
      <w:pPr>
        <w:pStyle w:val="af2"/>
        <w:rPr>
          <w:sz w:val="32"/>
          <w:szCs w:val="32"/>
        </w:rPr>
      </w:pPr>
      <w:r w:rsidRPr="0003218D">
        <w:rPr>
          <w:sz w:val="32"/>
          <w:szCs w:val="32"/>
        </w:rPr>
        <w:t xml:space="preserve">Гранична чисельність працівників </w:t>
      </w:r>
      <w:proofErr w:type="spellStart"/>
      <w:r w:rsidRPr="0003218D">
        <w:rPr>
          <w:sz w:val="32"/>
          <w:szCs w:val="32"/>
        </w:rPr>
        <w:t>Недригайлівської</w:t>
      </w:r>
      <w:proofErr w:type="spellEnd"/>
      <w:r w:rsidRPr="0003218D">
        <w:rPr>
          <w:sz w:val="32"/>
          <w:szCs w:val="32"/>
        </w:rPr>
        <w:t xml:space="preserve"> районної державної адміністрації становить 92 штатні одиниці, з них : 26 в апараті, 22 в нечисленних структурних підрозділах, 44 в самостійних структурних підрозділах. З зазначених 92 штатних одиниць: 84 – посади державної служби, 3 -  посади керівні працівники ( голова та заступники голови),  5 – посади працівників, які виконують функції з обслуговування та робітників. </w:t>
      </w:r>
    </w:p>
    <w:p w:rsidR="009F2C5C" w:rsidRPr="0003218D" w:rsidRDefault="009F2C5C" w:rsidP="0003218D">
      <w:pPr>
        <w:pStyle w:val="af2"/>
        <w:rPr>
          <w:sz w:val="32"/>
          <w:szCs w:val="32"/>
        </w:rPr>
      </w:pPr>
      <w:r w:rsidRPr="0003218D">
        <w:rPr>
          <w:sz w:val="32"/>
          <w:szCs w:val="32"/>
        </w:rPr>
        <w:t xml:space="preserve"> З метою удосконалення та оптимізації структури, упорядкування функціональних обов’язків структурних підрозділів </w:t>
      </w:r>
      <w:proofErr w:type="spellStart"/>
      <w:r w:rsidRPr="0003218D">
        <w:rPr>
          <w:sz w:val="32"/>
          <w:szCs w:val="32"/>
        </w:rPr>
        <w:t>Недригайлівської</w:t>
      </w:r>
      <w:proofErr w:type="spellEnd"/>
      <w:r w:rsidRPr="0003218D">
        <w:rPr>
          <w:sz w:val="32"/>
          <w:szCs w:val="32"/>
        </w:rPr>
        <w:t xml:space="preserve"> районної державної адміністрації і забезпечення раціонального використання бюджетних коштів  з 01 лютого 2019 року утворений відділ освіти, культури, туризму, молоді та спорту </w:t>
      </w:r>
      <w:proofErr w:type="spellStart"/>
      <w:r w:rsidRPr="0003218D">
        <w:rPr>
          <w:sz w:val="32"/>
          <w:szCs w:val="32"/>
        </w:rPr>
        <w:t>Недригайлівської</w:t>
      </w:r>
      <w:proofErr w:type="spellEnd"/>
      <w:r w:rsidRPr="0003218D">
        <w:rPr>
          <w:sz w:val="32"/>
          <w:szCs w:val="32"/>
        </w:rPr>
        <w:t xml:space="preserve"> районної державної адміністрації,  шляхом приєднання відділу культури, туризму, національностей і релігій та сектору  у справах молоді та спорту до відділу освіти </w:t>
      </w:r>
      <w:proofErr w:type="spellStart"/>
      <w:r w:rsidRPr="0003218D">
        <w:rPr>
          <w:sz w:val="32"/>
          <w:szCs w:val="32"/>
        </w:rPr>
        <w:t>Недригайлівської</w:t>
      </w:r>
      <w:proofErr w:type="spellEnd"/>
      <w:r w:rsidRPr="0003218D">
        <w:rPr>
          <w:sz w:val="32"/>
          <w:szCs w:val="32"/>
        </w:rPr>
        <w:t xml:space="preserve"> районної державної адміністрації.</w:t>
      </w:r>
    </w:p>
    <w:p w:rsidR="005D650B" w:rsidRDefault="009F2C5C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Протягом поточного року підвищили кваліфікацію 41 державних службовців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Недригайлівської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районної державної адміністрації</w:t>
      </w:r>
      <w:r w:rsidR="005D650B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9F2C5C" w:rsidRPr="0003218D" w:rsidRDefault="009F2C5C" w:rsidP="000321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За  рекомендацією 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lang w:val="uk-UA"/>
        </w:rPr>
        <w:t>Недригайлівської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районної державної адміністрації в       2018 році  4 державних службовці вступили на навчання до Київського національного університету імені Тараса Шевченка за спеціальністю «Публічне управління та адміністрування».</w:t>
      </w:r>
    </w:p>
    <w:p w:rsidR="009F2C5C" w:rsidRPr="0003218D" w:rsidRDefault="009F2C5C" w:rsidP="0003218D">
      <w:pPr>
        <w:pStyle w:val="af2"/>
        <w:rPr>
          <w:sz w:val="32"/>
          <w:szCs w:val="32"/>
        </w:rPr>
      </w:pPr>
      <w:r w:rsidRPr="0003218D">
        <w:rPr>
          <w:sz w:val="32"/>
          <w:szCs w:val="32"/>
        </w:rPr>
        <w:t xml:space="preserve">Згідно плану-графіку  в  2019 році планується забезпечити направлення на підвищення кваліфікації 45 державних службовців </w:t>
      </w:r>
      <w:proofErr w:type="spellStart"/>
      <w:r w:rsidRPr="0003218D">
        <w:rPr>
          <w:sz w:val="32"/>
          <w:szCs w:val="32"/>
        </w:rPr>
        <w:t>Недригайлівської</w:t>
      </w:r>
      <w:proofErr w:type="spellEnd"/>
      <w:r w:rsidRPr="0003218D">
        <w:rPr>
          <w:sz w:val="32"/>
          <w:szCs w:val="32"/>
        </w:rPr>
        <w:t xml:space="preserve"> районної державної адміністрації.</w:t>
      </w:r>
    </w:p>
    <w:p w:rsidR="0089461B" w:rsidRPr="0003218D" w:rsidRDefault="009F2C5C" w:rsidP="0003218D">
      <w:pPr>
        <w:pStyle w:val="22"/>
        <w:tabs>
          <w:tab w:val="left" w:pos="7020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3218D">
        <w:rPr>
          <w:sz w:val="32"/>
          <w:szCs w:val="32"/>
        </w:rPr>
        <w:t>Важливе місце в роботі райдержадміністрації займають питання роботи із зверненнями громадян.</w:t>
      </w:r>
      <w:r w:rsidRPr="0003218D">
        <w:rPr>
          <w:color w:val="FF0000"/>
          <w:sz w:val="32"/>
          <w:szCs w:val="32"/>
        </w:rPr>
        <w:t xml:space="preserve"> </w:t>
      </w:r>
      <w:r w:rsidR="0089461B" w:rsidRPr="0003218D">
        <w:rPr>
          <w:sz w:val="32"/>
          <w:szCs w:val="32"/>
        </w:rPr>
        <w:t xml:space="preserve">Упродовж 2018 року до райдержадміністрації надійшло </w:t>
      </w:r>
      <w:r w:rsidR="0089461B" w:rsidRPr="0003218D">
        <w:rPr>
          <w:b/>
          <w:sz w:val="32"/>
          <w:szCs w:val="32"/>
        </w:rPr>
        <w:t>256</w:t>
      </w:r>
      <w:r w:rsidR="0089461B" w:rsidRPr="0003218D">
        <w:rPr>
          <w:sz w:val="32"/>
          <w:szCs w:val="32"/>
        </w:rPr>
        <w:t xml:space="preserve"> звернень громадян, з них </w:t>
      </w:r>
      <w:r w:rsidR="0089461B" w:rsidRPr="0003218D">
        <w:rPr>
          <w:b/>
          <w:sz w:val="32"/>
          <w:szCs w:val="32"/>
        </w:rPr>
        <w:t>10</w:t>
      </w:r>
      <w:r w:rsidR="0089461B" w:rsidRPr="0003218D">
        <w:rPr>
          <w:sz w:val="32"/>
          <w:szCs w:val="32"/>
        </w:rPr>
        <w:t xml:space="preserve"> отримано поштою, </w:t>
      </w:r>
      <w:r w:rsidR="0089461B" w:rsidRPr="0003218D">
        <w:rPr>
          <w:b/>
          <w:sz w:val="32"/>
          <w:szCs w:val="32"/>
        </w:rPr>
        <w:t>46</w:t>
      </w:r>
      <w:r w:rsidR="0089461B" w:rsidRPr="0003218D">
        <w:rPr>
          <w:sz w:val="32"/>
          <w:szCs w:val="32"/>
        </w:rPr>
        <w:t xml:space="preserve"> – на особистому прийомі у керівництва, </w:t>
      </w:r>
      <w:r w:rsidR="0089461B" w:rsidRPr="0003218D">
        <w:rPr>
          <w:b/>
          <w:sz w:val="32"/>
          <w:szCs w:val="32"/>
        </w:rPr>
        <w:t>12</w:t>
      </w:r>
      <w:r w:rsidR="0089461B" w:rsidRPr="0003218D">
        <w:rPr>
          <w:sz w:val="32"/>
          <w:szCs w:val="32"/>
        </w:rPr>
        <w:t xml:space="preserve"> - через органи влади вищого рівня, </w:t>
      </w:r>
      <w:r w:rsidR="0089461B" w:rsidRPr="0003218D">
        <w:rPr>
          <w:b/>
          <w:sz w:val="32"/>
          <w:szCs w:val="32"/>
        </w:rPr>
        <w:t>12</w:t>
      </w:r>
      <w:r w:rsidR="0089461B" w:rsidRPr="0003218D">
        <w:rPr>
          <w:sz w:val="32"/>
          <w:szCs w:val="32"/>
        </w:rPr>
        <w:t xml:space="preserve"> – на телефон «гарячої лінії» райдержадміністрації, </w:t>
      </w:r>
      <w:r w:rsidR="0089461B" w:rsidRPr="0003218D">
        <w:rPr>
          <w:b/>
          <w:sz w:val="32"/>
          <w:szCs w:val="32"/>
        </w:rPr>
        <w:t>161</w:t>
      </w:r>
      <w:r w:rsidR="0089461B" w:rsidRPr="0003218D">
        <w:rPr>
          <w:sz w:val="32"/>
          <w:szCs w:val="32"/>
        </w:rPr>
        <w:t xml:space="preserve"> надійшло з ДУ «Урядовий контактний центр», </w:t>
      </w:r>
      <w:r w:rsidR="0089461B" w:rsidRPr="0003218D">
        <w:rPr>
          <w:b/>
          <w:sz w:val="32"/>
          <w:szCs w:val="32"/>
        </w:rPr>
        <w:t>15</w:t>
      </w:r>
      <w:r w:rsidR="0089461B" w:rsidRPr="0003218D">
        <w:rPr>
          <w:sz w:val="32"/>
          <w:szCs w:val="32"/>
        </w:rPr>
        <w:t xml:space="preserve"> з ДУ «Сумський обласний контактний центр».</w:t>
      </w:r>
    </w:p>
    <w:p w:rsidR="0089461B" w:rsidRPr="0003218D" w:rsidRDefault="0089461B" w:rsidP="00032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03218D">
        <w:rPr>
          <w:rFonts w:ascii="Times New Roman" w:hAnsi="Times New Roman" w:cs="Times New Roman"/>
          <w:sz w:val="32"/>
          <w:szCs w:val="32"/>
          <w:lang w:val="uk-UA"/>
        </w:rPr>
        <w:t>Г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ромадянами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зверненнях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було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порушено </w:t>
      </w: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256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питань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Основну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їх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частку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склали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питання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proofErr w:type="gramStart"/>
      <w:r w:rsidRPr="0003218D">
        <w:rPr>
          <w:rFonts w:ascii="Times New Roman" w:hAnsi="Times New Roman" w:cs="Times New Roman"/>
          <w:sz w:val="32"/>
          <w:szCs w:val="32"/>
        </w:rPr>
        <w:t>соц</w:t>
      </w:r>
      <w:proofErr w:type="gramEnd"/>
      <w:r w:rsidRPr="0003218D">
        <w:rPr>
          <w:rFonts w:ascii="Times New Roman" w:hAnsi="Times New Roman" w:cs="Times New Roman"/>
          <w:sz w:val="32"/>
          <w:szCs w:val="32"/>
        </w:rPr>
        <w:t>іального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захисту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 </w:t>
      </w:r>
      <w:r w:rsidRPr="0003218D">
        <w:rPr>
          <w:rFonts w:ascii="Times New Roman" w:hAnsi="Times New Roman" w:cs="Times New Roman"/>
          <w:b/>
          <w:sz w:val="32"/>
          <w:szCs w:val="32"/>
        </w:rPr>
        <w:t>1</w:t>
      </w: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03218D">
        <w:rPr>
          <w:rFonts w:ascii="Times New Roman" w:hAnsi="Times New Roman" w:cs="Times New Roman"/>
          <w:b/>
          <w:sz w:val="32"/>
          <w:szCs w:val="32"/>
        </w:rPr>
        <w:t>9</w:t>
      </w:r>
      <w:r w:rsidRPr="0003218D">
        <w:rPr>
          <w:rFonts w:ascii="Times New Roman" w:hAnsi="Times New Roman" w:cs="Times New Roman"/>
          <w:sz w:val="32"/>
          <w:szCs w:val="32"/>
        </w:rPr>
        <w:t xml:space="preserve"> (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50,4</w:t>
      </w:r>
      <w:r w:rsidRPr="0003218D">
        <w:rPr>
          <w:rFonts w:ascii="Times New Roman" w:hAnsi="Times New Roman" w:cs="Times New Roman"/>
          <w:sz w:val="32"/>
          <w:szCs w:val="32"/>
        </w:rPr>
        <w:t>%),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аграрної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політики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земельних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відносини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b/>
          <w:sz w:val="32"/>
          <w:szCs w:val="32"/>
        </w:rPr>
        <w:t>5</w:t>
      </w: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7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</w:rPr>
        <w:t>(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22,3</w:t>
      </w:r>
      <w:r w:rsidRPr="0003218D">
        <w:rPr>
          <w:rFonts w:ascii="Times New Roman" w:hAnsi="Times New Roman" w:cs="Times New Roman"/>
          <w:sz w:val="32"/>
          <w:szCs w:val="32"/>
        </w:rPr>
        <w:t xml:space="preserve">%),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комунального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господарства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 </w:t>
      </w: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 xml:space="preserve">26 </w:t>
      </w:r>
      <w:r w:rsidRPr="0003218D">
        <w:rPr>
          <w:rFonts w:ascii="Times New Roman" w:hAnsi="Times New Roman" w:cs="Times New Roman"/>
          <w:sz w:val="32"/>
          <w:szCs w:val="32"/>
        </w:rPr>
        <w:t>(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10,1</w:t>
      </w:r>
      <w:r w:rsidRPr="0003218D">
        <w:rPr>
          <w:rFonts w:ascii="Times New Roman" w:hAnsi="Times New Roman" w:cs="Times New Roman"/>
          <w:sz w:val="32"/>
          <w:szCs w:val="32"/>
        </w:rPr>
        <w:t xml:space="preserve">%),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охорони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здоров’я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– </w:t>
      </w:r>
      <w:r w:rsidRPr="0003218D">
        <w:rPr>
          <w:rFonts w:ascii="Times New Roman" w:hAnsi="Times New Roman" w:cs="Times New Roman"/>
          <w:b/>
          <w:sz w:val="32"/>
          <w:szCs w:val="32"/>
          <w:lang w:val="uk-UA"/>
        </w:rPr>
        <w:t>15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03218D">
        <w:rPr>
          <w:rFonts w:ascii="Times New Roman" w:hAnsi="Times New Roman" w:cs="Times New Roman"/>
          <w:sz w:val="32"/>
          <w:szCs w:val="32"/>
        </w:rPr>
        <w:lastRenderedPageBreak/>
        <w:t>(</w:t>
      </w:r>
      <w:r w:rsidRPr="0003218D">
        <w:rPr>
          <w:rFonts w:ascii="Times New Roman" w:hAnsi="Times New Roman" w:cs="Times New Roman"/>
          <w:sz w:val="32"/>
          <w:szCs w:val="32"/>
          <w:lang w:val="uk-UA"/>
        </w:rPr>
        <w:t>5,9</w:t>
      </w:r>
      <w:r w:rsidRPr="0003218D">
        <w:rPr>
          <w:rFonts w:ascii="Times New Roman" w:hAnsi="Times New Roman" w:cs="Times New Roman"/>
          <w:sz w:val="32"/>
          <w:szCs w:val="32"/>
        </w:rPr>
        <w:t xml:space="preserve">%) та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інші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Актуальними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для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жителів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району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залишаються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питання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призначення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та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перерахунку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</w:rPr>
        <w:t>субсидій</w:t>
      </w:r>
      <w:proofErr w:type="spellEnd"/>
      <w:r w:rsidRPr="0003218D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,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виплат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>а</w:t>
      </w:r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коштів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використання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земельних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часток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паїв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) 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орендарями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які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працюють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території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району, а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також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виділення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земельних</w:t>
      </w:r>
      <w:proofErr w:type="spellEnd"/>
      <w:r w:rsidRPr="0003218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3218D">
        <w:rPr>
          <w:rFonts w:ascii="Times New Roman" w:hAnsi="Times New Roman" w:cs="Times New Roman"/>
          <w:sz w:val="32"/>
          <w:szCs w:val="32"/>
        </w:rPr>
        <w:t>ділянок</w:t>
      </w:r>
      <w:proofErr w:type="spellEnd"/>
      <w:r w:rsidRPr="0003218D">
        <w:rPr>
          <w:rFonts w:ascii="Times New Roman" w:hAnsi="Times New Roman" w:cs="Times New Roman"/>
          <w:sz w:val="32"/>
          <w:szCs w:val="32"/>
          <w:lang w:val="uk-UA"/>
        </w:rPr>
        <w:t>. Важливим залишається питання забезпечення хворих безкоштовними медичними препаратами для лікування цукрового діабету</w:t>
      </w:r>
      <w:r w:rsidR="007853F9" w:rsidRPr="0003218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7853F9" w:rsidRPr="0003218D" w:rsidRDefault="007853F9" w:rsidP="0003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</w:pPr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В районі зареєстровано близько 60 районних організацій політичних партій та сорока районних громадських організацій.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Недригайлівська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районна державна адміністрація тісно співпрацює з усіма формуваннями Співпраця з громадськістю відбувається в різних формах, серед яких: особисті зустрічі, засідання за "круглим столом", семінари, консультації з актуальних питань державного управління, участь громадськості в консультативно-дорадчих органах, у заходах, що проводяться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Недригайлівською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районною державною адміністрацією. Об’єднання громадян входять до складу консультативно-дорадчих органів при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Недригайлівській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районній державній адміністрації, районні громадські організації та політичні партії залучаються до участі в районних заходах. </w:t>
      </w:r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цілому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громадський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сектор району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невпинно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розвивається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представники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громадськості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активно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залучаються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до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формування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та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реалізації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державної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політики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 </w:t>
      </w:r>
      <w:proofErr w:type="spellStart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>районі</w:t>
      </w:r>
      <w:proofErr w:type="spellEnd"/>
      <w:r w:rsidRPr="0003218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</w:p>
    <w:p w:rsidR="007853F9" w:rsidRPr="0003218D" w:rsidRDefault="007853F9" w:rsidP="00032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9F2C5C" w:rsidRPr="0003218D" w:rsidRDefault="009F2C5C" w:rsidP="0003218D">
      <w:pPr>
        <w:pStyle w:val="af2"/>
        <w:rPr>
          <w:sz w:val="32"/>
          <w:szCs w:val="32"/>
        </w:rPr>
      </w:pPr>
      <w:r w:rsidRPr="0003218D">
        <w:rPr>
          <w:sz w:val="32"/>
          <w:szCs w:val="32"/>
        </w:rPr>
        <w:t>Все, що вдалося зробити у 2018 році – це результат спільної праці структурних підрозділів райдержадміністрації, районних установ, організацій, органів місцевого самоврядування, громадськості.</w:t>
      </w:r>
    </w:p>
    <w:p w:rsidR="009F2C5C" w:rsidRPr="0003218D" w:rsidRDefault="009F2C5C" w:rsidP="0003218D">
      <w:pPr>
        <w:pStyle w:val="af2"/>
        <w:rPr>
          <w:sz w:val="32"/>
          <w:szCs w:val="32"/>
        </w:rPr>
      </w:pPr>
      <w:r w:rsidRPr="0003218D">
        <w:rPr>
          <w:sz w:val="32"/>
          <w:szCs w:val="32"/>
        </w:rPr>
        <w:t xml:space="preserve">На завершення хочу подякувати всім Вам за розуміння, підтримку </w:t>
      </w:r>
      <w:r w:rsidR="00D04E8A" w:rsidRPr="0003218D">
        <w:rPr>
          <w:sz w:val="32"/>
          <w:szCs w:val="32"/>
        </w:rPr>
        <w:t>та</w:t>
      </w:r>
      <w:r w:rsidRPr="0003218D">
        <w:rPr>
          <w:sz w:val="32"/>
          <w:szCs w:val="32"/>
        </w:rPr>
        <w:t xml:space="preserve"> допомогу в роботі.</w:t>
      </w:r>
    </w:p>
    <w:p w:rsidR="009F2C5C" w:rsidRPr="0003218D" w:rsidRDefault="009F2C5C" w:rsidP="0003218D">
      <w:pPr>
        <w:pStyle w:val="af2"/>
        <w:rPr>
          <w:i/>
          <w:sz w:val="32"/>
          <w:szCs w:val="32"/>
        </w:rPr>
      </w:pPr>
      <w:r w:rsidRPr="0003218D">
        <w:rPr>
          <w:b/>
          <w:sz w:val="32"/>
          <w:szCs w:val="32"/>
        </w:rPr>
        <w:t>Дякую за увагу</w:t>
      </w:r>
      <w:r w:rsidRPr="0003218D">
        <w:rPr>
          <w:sz w:val="32"/>
          <w:szCs w:val="32"/>
        </w:rPr>
        <w:t xml:space="preserve">! </w:t>
      </w:r>
    </w:p>
    <w:p w:rsidR="009F2C5C" w:rsidRPr="00BF1CC6" w:rsidRDefault="009F2C5C" w:rsidP="00BF1CC6">
      <w:pPr>
        <w:pStyle w:val="HTML"/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2C5C" w:rsidRPr="00BF1CC6" w:rsidSect="000D3F1A">
      <w:headerReference w:type="default" r:id="rId8"/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54B" w:rsidRDefault="006C354B" w:rsidP="00E44260">
      <w:pPr>
        <w:spacing w:after="0" w:line="240" w:lineRule="auto"/>
      </w:pPr>
      <w:r>
        <w:separator/>
      </w:r>
    </w:p>
  </w:endnote>
  <w:endnote w:type="continuationSeparator" w:id="1">
    <w:p w:rsidR="006C354B" w:rsidRDefault="006C354B" w:rsidP="00E4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54B" w:rsidRDefault="006C354B" w:rsidP="00E44260">
      <w:pPr>
        <w:spacing w:after="0" w:line="240" w:lineRule="auto"/>
      </w:pPr>
      <w:r>
        <w:separator/>
      </w:r>
    </w:p>
  </w:footnote>
  <w:footnote w:type="continuationSeparator" w:id="1">
    <w:p w:rsidR="006C354B" w:rsidRDefault="006C354B" w:rsidP="00E44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7763"/>
      <w:docPartObj>
        <w:docPartGallery w:val="Номера страниц (вверху страницы)"/>
        <w:docPartUnique/>
      </w:docPartObj>
    </w:sdtPr>
    <w:sdtContent>
      <w:p w:rsidR="0010545A" w:rsidRDefault="00E7190E">
        <w:pPr>
          <w:pStyle w:val="ae"/>
          <w:jc w:val="center"/>
        </w:pPr>
        <w:fldSimple w:instr=" PAGE   \* MERGEFORMAT ">
          <w:r w:rsidR="00F07C68">
            <w:rPr>
              <w:noProof/>
            </w:rPr>
            <w:t>1</w:t>
          </w:r>
        </w:fldSimple>
      </w:p>
    </w:sdtContent>
  </w:sdt>
  <w:p w:rsidR="0010545A" w:rsidRDefault="0010545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307F6"/>
    <w:multiLevelType w:val="hybridMultilevel"/>
    <w:tmpl w:val="49A47A54"/>
    <w:lvl w:ilvl="0" w:tplc="800A8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187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688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38C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16E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85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2C6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0AD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06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20BD"/>
    <w:rsid w:val="000064E9"/>
    <w:rsid w:val="0001125B"/>
    <w:rsid w:val="00013133"/>
    <w:rsid w:val="0002622A"/>
    <w:rsid w:val="000300EC"/>
    <w:rsid w:val="0003218D"/>
    <w:rsid w:val="000328EA"/>
    <w:rsid w:val="00044250"/>
    <w:rsid w:val="00046F08"/>
    <w:rsid w:val="000563C7"/>
    <w:rsid w:val="00074AFA"/>
    <w:rsid w:val="000862DC"/>
    <w:rsid w:val="00086431"/>
    <w:rsid w:val="000C27E0"/>
    <w:rsid w:val="000C4225"/>
    <w:rsid w:val="000D3F1A"/>
    <w:rsid w:val="000F45D1"/>
    <w:rsid w:val="00105402"/>
    <w:rsid w:val="0010545A"/>
    <w:rsid w:val="00112A16"/>
    <w:rsid w:val="0011581F"/>
    <w:rsid w:val="00116D2B"/>
    <w:rsid w:val="00130676"/>
    <w:rsid w:val="0013158C"/>
    <w:rsid w:val="001372A3"/>
    <w:rsid w:val="001529EB"/>
    <w:rsid w:val="0016004C"/>
    <w:rsid w:val="001C3C3B"/>
    <w:rsid w:val="001C57EE"/>
    <w:rsid w:val="001E0ABC"/>
    <w:rsid w:val="001E31E9"/>
    <w:rsid w:val="001E42C3"/>
    <w:rsid w:val="001E7FC9"/>
    <w:rsid w:val="00206F27"/>
    <w:rsid w:val="00207949"/>
    <w:rsid w:val="00207A5F"/>
    <w:rsid w:val="00213472"/>
    <w:rsid w:val="0022059B"/>
    <w:rsid w:val="00241E3A"/>
    <w:rsid w:val="00243FC6"/>
    <w:rsid w:val="00244616"/>
    <w:rsid w:val="00285DE3"/>
    <w:rsid w:val="00287DB6"/>
    <w:rsid w:val="00287EB5"/>
    <w:rsid w:val="00296D9E"/>
    <w:rsid w:val="002A08FB"/>
    <w:rsid w:val="002A4CD7"/>
    <w:rsid w:val="002C313A"/>
    <w:rsid w:val="002C66D1"/>
    <w:rsid w:val="002D5D57"/>
    <w:rsid w:val="00307553"/>
    <w:rsid w:val="00313990"/>
    <w:rsid w:val="00332432"/>
    <w:rsid w:val="0033677B"/>
    <w:rsid w:val="00336ADE"/>
    <w:rsid w:val="00350432"/>
    <w:rsid w:val="003601FC"/>
    <w:rsid w:val="00362019"/>
    <w:rsid w:val="0038453C"/>
    <w:rsid w:val="003B188E"/>
    <w:rsid w:val="003D376B"/>
    <w:rsid w:val="003D7281"/>
    <w:rsid w:val="003E0134"/>
    <w:rsid w:val="003E0E14"/>
    <w:rsid w:val="00401C74"/>
    <w:rsid w:val="004050F4"/>
    <w:rsid w:val="004242C4"/>
    <w:rsid w:val="00430ADF"/>
    <w:rsid w:val="00446899"/>
    <w:rsid w:val="004478ED"/>
    <w:rsid w:val="00462045"/>
    <w:rsid w:val="00462C53"/>
    <w:rsid w:val="00481861"/>
    <w:rsid w:val="00482219"/>
    <w:rsid w:val="00484328"/>
    <w:rsid w:val="004A068F"/>
    <w:rsid w:val="004A589E"/>
    <w:rsid w:val="004C0427"/>
    <w:rsid w:val="004D1B78"/>
    <w:rsid w:val="004E1BB4"/>
    <w:rsid w:val="004E3DFD"/>
    <w:rsid w:val="00531C78"/>
    <w:rsid w:val="00544F50"/>
    <w:rsid w:val="00546993"/>
    <w:rsid w:val="0055023D"/>
    <w:rsid w:val="0055086A"/>
    <w:rsid w:val="005616FE"/>
    <w:rsid w:val="00594017"/>
    <w:rsid w:val="005A17B4"/>
    <w:rsid w:val="005A2D65"/>
    <w:rsid w:val="005B44E6"/>
    <w:rsid w:val="005B561E"/>
    <w:rsid w:val="005B7BF5"/>
    <w:rsid w:val="005C19C0"/>
    <w:rsid w:val="005D650B"/>
    <w:rsid w:val="005E03F7"/>
    <w:rsid w:val="005E2C7F"/>
    <w:rsid w:val="005E44C1"/>
    <w:rsid w:val="006106C8"/>
    <w:rsid w:val="00614010"/>
    <w:rsid w:val="00617986"/>
    <w:rsid w:val="00622281"/>
    <w:rsid w:val="00624C51"/>
    <w:rsid w:val="00661D22"/>
    <w:rsid w:val="00684787"/>
    <w:rsid w:val="006A1AC4"/>
    <w:rsid w:val="006B3658"/>
    <w:rsid w:val="006C354B"/>
    <w:rsid w:val="006D233B"/>
    <w:rsid w:val="006D69B5"/>
    <w:rsid w:val="006E72ED"/>
    <w:rsid w:val="006F496A"/>
    <w:rsid w:val="006F5D79"/>
    <w:rsid w:val="006F7BC9"/>
    <w:rsid w:val="00702B8B"/>
    <w:rsid w:val="007066E7"/>
    <w:rsid w:val="0071654C"/>
    <w:rsid w:val="00724194"/>
    <w:rsid w:val="007362E7"/>
    <w:rsid w:val="00747021"/>
    <w:rsid w:val="00757AFE"/>
    <w:rsid w:val="00767002"/>
    <w:rsid w:val="00767FEA"/>
    <w:rsid w:val="00781F79"/>
    <w:rsid w:val="007820D9"/>
    <w:rsid w:val="00785090"/>
    <w:rsid w:val="007853F9"/>
    <w:rsid w:val="007A4836"/>
    <w:rsid w:val="007D0085"/>
    <w:rsid w:val="007D313C"/>
    <w:rsid w:val="007E20BD"/>
    <w:rsid w:val="007F2208"/>
    <w:rsid w:val="00801B41"/>
    <w:rsid w:val="008028E7"/>
    <w:rsid w:val="008252D3"/>
    <w:rsid w:val="00826BF2"/>
    <w:rsid w:val="00826F94"/>
    <w:rsid w:val="00826FFC"/>
    <w:rsid w:val="00837FB8"/>
    <w:rsid w:val="00847B67"/>
    <w:rsid w:val="00853F1F"/>
    <w:rsid w:val="008627DA"/>
    <w:rsid w:val="008662D0"/>
    <w:rsid w:val="00867383"/>
    <w:rsid w:val="0088057C"/>
    <w:rsid w:val="0089461B"/>
    <w:rsid w:val="008961FB"/>
    <w:rsid w:val="00896F7C"/>
    <w:rsid w:val="008A65A6"/>
    <w:rsid w:val="008B3C57"/>
    <w:rsid w:val="008B4DB7"/>
    <w:rsid w:val="008B4F73"/>
    <w:rsid w:val="008B6995"/>
    <w:rsid w:val="008B7103"/>
    <w:rsid w:val="008D6F1E"/>
    <w:rsid w:val="008E2BDE"/>
    <w:rsid w:val="008E4138"/>
    <w:rsid w:val="008E77F1"/>
    <w:rsid w:val="008F1B15"/>
    <w:rsid w:val="00912988"/>
    <w:rsid w:val="00916D15"/>
    <w:rsid w:val="00925477"/>
    <w:rsid w:val="00935958"/>
    <w:rsid w:val="009364CB"/>
    <w:rsid w:val="009467BD"/>
    <w:rsid w:val="00947649"/>
    <w:rsid w:val="00965EAF"/>
    <w:rsid w:val="00993093"/>
    <w:rsid w:val="009B68EA"/>
    <w:rsid w:val="009B7585"/>
    <w:rsid w:val="009E38AE"/>
    <w:rsid w:val="009E3C3B"/>
    <w:rsid w:val="009F2C5C"/>
    <w:rsid w:val="00A011B0"/>
    <w:rsid w:val="00A0489C"/>
    <w:rsid w:val="00A15968"/>
    <w:rsid w:val="00A160ED"/>
    <w:rsid w:val="00A413E8"/>
    <w:rsid w:val="00A5360C"/>
    <w:rsid w:val="00A55FD6"/>
    <w:rsid w:val="00A5786E"/>
    <w:rsid w:val="00A578EC"/>
    <w:rsid w:val="00A61CF9"/>
    <w:rsid w:val="00A8480B"/>
    <w:rsid w:val="00A86DA6"/>
    <w:rsid w:val="00AA4E7D"/>
    <w:rsid w:val="00AC2AB6"/>
    <w:rsid w:val="00AF11F2"/>
    <w:rsid w:val="00AF4893"/>
    <w:rsid w:val="00B14FDF"/>
    <w:rsid w:val="00B1576A"/>
    <w:rsid w:val="00B2535B"/>
    <w:rsid w:val="00B3396F"/>
    <w:rsid w:val="00B510DF"/>
    <w:rsid w:val="00B53A0C"/>
    <w:rsid w:val="00B56641"/>
    <w:rsid w:val="00B81F6A"/>
    <w:rsid w:val="00B830BF"/>
    <w:rsid w:val="00B96E53"/>
    <w:rsid w:val="00BA7304"/>
    <w:rsid w:val="00BB556D"/>
    <w:rsid w:val="00BD7632"/>
    <w:rsid w:val="00BD7DE7"/>
    <w:rsid w:val="00BF1CC6"/>
    <w:rsid w:val="00C00275"/>
    <w:rsid w:val="00C04D48"/>
    <w:rsid w:val="00C05576"/>
    <w:rsid w:val="00C067F2"/>
    <w:rsid w:val="00C10848"/>
    <w:rsid w:val="00C20E62"/>
    <w:rsid w:val="00C306BE"/>
    <w:rsid w:val="00C43765"/>
    <w:rsid w:val="00C526F5"/>
    <w:rsid w:val="00C61462"/>
    <w:rsid w:val="00C6464A"/>
    <w:rsid w:val="00C83434"/>
    <w:rsid w:val="00C924E8"/>
    <w:rsid w:val="00C978E8"/>
    <w:rsid w:val="00CB045E"/>
    <w:rsid w:val="00CC7D29"/>
    <w:rsid w:val="00CE2AC9"/>
    <w:rsid w:val="00CE42AC"/>
    <w:rsid w:val="00CF2C92"/>
    <w:rsid w:val="00D029A4"/>
    <w:rsid w:val="00D0464C"/>
    <w:rsid w:val="00D04E8A"/>
    <w:rsid w:val="00D07A37"/>
    <w:rsid w:val="00D11970"/>
    <w:rsid w:val="00D276B6"/>
    <w:rsid w:val="00D300CD"/>
    <w:rsid w:val="00D37FA7"/>
    <w:rsid w:val="00D46750"/>
    <w:rsid w:val="00D748C3"/>
    <w:rsid w:val="00D81641"/>
    <w:rsid w:val="00D91525"/>
    <w:rsid w:val="00DA1F19"/>
    <w:rsid w:val="00DA471E"/>
    <w:rsid w:val="00DB6834"/>
    <w:rsid w:val="00DD015E"/>
    <w:rsid w:val="00DD2CCE"/>
    <w:rsid w:val="00DD31D7"/>
    <w:rsid w:val="00E10792"/>
    <w:rsid w:val="00E146EA"/>
    <w:rsid w:val="00E44260"/>
    <w:rsid w:val="00E57354"/>
    <w:rsid w:val="00E62461"/>
    <w:rsid w:val="00E65008"/>
    <w:rsid w:val="00E67811"/>
    <w:rsid w:val="00E7190E"/>
    <w:rsid w:val="00E71973"/>
    <w:rsid w:val="00E96F1B"/>
    <w:rsid w:val="00EA2638"/>
    <w:rsid w:val="00EA5DA9"/>
    <w:rsid w:val="00EB046D"/>
    <w:rsid w:val="00EC4943"/>
    <w:rsid w:val="00EF747D"/>
    <w:rsid w:val="00F0047F"/>
    <w:rsid w:val="00F07C68"/>
    <w:rsid w:val="00F233BF"/>
    <w:rsid w:val="00F27D68"/>
    <w:rsid w:val="00F30884"/>
    <w:rsid w:val="00F329C0"/>
    <w:rsid w:val="00F420CB"/>
    <w:rsid w:val="00F52EFE"/>
    <w:rsid w:val="00F53B40"/>
    <w:rsid w:val="00F53C25"/>
    <w:rsid w:val="00F656E0"/>
    <w:rsid w:val="00F718AD"/>
    <w:rsid w:val="00F803A8"/>
    <w:rsid w:val="00FA3667"/>
    <w:rsid w:val="00FB2433"/>
    <w:rsid w:val="00FB4A72"/>
    <w:rsid w:val="00FB5E9A"/>
    <w:rsid w:val="00FB7F37"/>
    <w:rsid w:val="00FC7199"/>
    <w:rsid w:val="00FD7975"/>
    <w:rsid w:val="00FE3E2D"/>
    <w:rsid w:val="00FF2542"/>
    <w:rsid w:val="00FF4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3A8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0328E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328EA"/>
  </w:style>
  <w:style w:type="paragraph" w:customStyle="1" w:styleId="21">
    <w:name w:val="Основной текст 21"/>
    <w:basedOn w:val="a"/>
    <w:rsid w:val="004242C4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6">
    <w:name w:val="Body Text"/>
    <w:basedOn w:val="a"/>
    <w:link w:val="a7"/>
    <w:uiPriority w:val="99"/>
    <w:semiHidden/>
    <w:unhideWhenUsed/>
    <w:rsid w:val="00853F1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53F1F"/>
  </w:style>
  <w:style w:type="character" w:customStyle="1" w:styleId="apple-converted-space">
    <w:name w:val="apple-converted-space"/>
    <w:basedOn w:val="a0"/>
    <w:rsid w:val="00EB046D"/>
  </w:style>
  <w:style w:type="character" w:styleId="a8">
    <w:name w:val="Strong"/>
    <w:basedOn w:val="a0"/>
    <w:qFormat/>
    <w:rsid w:val="00EB046D"/>
    <w:rPr>
      <w:b/>
      <w:bCs/>
    </w:rPr>
  </w:style>
  <w:style w:type="character" w:styleId="a9">
    <w:name w:val="Emphasis"/>
    <w:basedOn w:val="a0"/>
    <w:qFormat/>
    <w:rsid w:val="00EB046D"/>
    <w:rPr>
      <w:i/>
      <w:iCs/>
    </w:rPr>
  </w:style>
  <w:style w:type="paragraph" w:styleId="aa">
    <w:name w:val="Title"/>
    <w:basedOn w:val="a"/>
    <w:link w:val="ab"/>
    <w:qFormat/>
    <w:rsid w:val="00074A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ab">
    <w:name w:val="Название Знак"/>
    <w:basedOn w:val="a0"/>
    <w:link w:val="aa"/>
    <w:rsid w:val="00074AFA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FB7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B7F37"/>
    <w:rPr>
      <w:rFonts w:ascii="Courier New" w:eastAsia="Times New Roman" w:hAnsi="Courier New" w:cs="Courier New"/>
      <w:sz w:val="20"/>
      <w:szCs w:val="20"/>
    </w:rPr>
  </w:style>
  <w:style w:type="character" w:customStyle="1" w:styleId="FontStyle11">
    <w:name w:val="Font Style11"/>
    <w:rsid w:val="00947649"/>
    <w:rPr>
      <w:rFonts w:ascii="Times New Roman" w:hAnsi="Times New Roman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F2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D68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139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3990"/>
    <w:pPr>
      <w:widowControl w:val="0"/>
      <w:shd w:val="clear" w:color="auto" w:fill="FFFFFF"/>
      <w:spacing w:before="300" w:after="5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FranklinGothicDemi115pt">
    <w:name w:val="Основной текст (2) + Franklin Gothic Demi;11;5 pt;Курсив"/>
    <w:basedOn w:val="2"/>
    <w:rsid w:val="00313990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styleId="ae">
    <w:name w:val="header"/>
    <w:basedOn w:val="a"/>
    <w:link w:val="af"/>
    <w:uiPriority w:val="99"/>
    <w:unhideWhenUsed/>
    <w:rsid w:val="00E44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44260"/>
  </w:style>
  <w:style w:type="paragraph" w:styleId="af0">
    <w:name w:val="footer"/>
    <w:basedOn w:val="a"/>
    <w:link w:val="af1"/>
    <w:uiPriority w:val="99"/>
    <w:semiHidden/>
    <w:unhideWhenUsed/>
    <w:rsid w:val="00E44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260"/>
  </w:style>
  <w:style w:type="paragraph" w:customStyle="1" w:styleId="FR1">
    <w:name w:val="FR1"/>
    <w:uiPriority w:val="99"/>
    <w:rsid w:val="00332432"/>
    <w:pPr>
      <w:widowControl w:val="0"/>
      <w:spacing w:before="800" w:after="0" w:line="240" w:lineRule="auto"/>
      <w:ind w:left="3320"/>
    </w:pPr>
    <w:rPr>
      <w:rFonts w:ascii="Arial" w:eastAsia="Times New Roman" w:hAnsi="Arial" w:cs="Times New Roman"/>
      <w:snapToGrid w:val="0"/>
      <w:sz w:val="20"/>
      <w:szCs w:val="20"/>
      <w:lang w:val="uk-UA"/>
    </w:rPr>
  </w:style>
  <w:style w:type="paragraph" w:styleId="af2">
    <w:name w:val="No Spacing"/>
    <w:uiPriority w:val="1"/>
    <w:qFormat/>
    <w:rsid w:val="009F2C5C"/>
    <w:pPr>
      <w:spacing w:after="0" w:line="240" w:lineRule="auto"/>
      <w:ind w:firstLine="851"/>
      <w:jc w:val="both"/>
    </w:pPr>
    <w:rPr>
      <w:rFonts w:ascii="Times New Roman" w:eastAsiaTheme="minorHAnsi" w:hAnsi="Times New Roman" w:cs="Times New Roman"/>
      <w:sz w:val="28"/>
      <w:szCs w:val="28"/>
      <w:lang w:val="uk-UA" w:eastAsia="en-US"/>
    </w:rPr>
  </w:style>
  <w:style w:type="paragraph" w:styleId="22">
    <w:name w:val="Body Text Indent 2"/>
    <w:basedOn w:val="a"/>
    <w:link w:val="23"/>
    <w:rsid w:val="00E6246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3">
    <w:name w:val="Основной текст с отступом 2 Знак"/>
    <w:basedOn w:val="a0"/>
    <w:link w:val="22"/>
    <w:rsid w:val="00E62461"/>
    <w:rPr>
      <w:rFonts w:ascii="Times New Roman" w:eastAsia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56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3E656-C8AB-4D34-99AF-BC5337AC4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3555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Veretilnuk</cp:lastModifiedBy>
  <cp:revision>2</cp:revision>
  <cp:lastPrinted>2019-02-18T15:23:00Z</cp:lastPrinted>
  <dcterms:created xsi:type="dcterms:W3CDTF">2019-02-20T11:52:00Z</dcterms:created>
  <dcterms:modified xsi:type="dcterms:W3CDTF">2019-02-20T11:52:00Z</dcterms:modified>
</cp:coreProperties>
</file>