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BDA" w:rsidRDefault="004E6BDA" w:rsidP="004E6BDA">
      <w:pPr>
        <w:spacing w:after="0" w:line="240" w:lineRule="auto"/>
        <w:jc w:val="center"/>
        <w:rPr>
          <w:rFonts w:ascii="Times New Roman" w:eastAsia="Times New Roman" w:hAnsi="Times New Roman" w:cs="Times New Roman"/>
          <w:b/>
          <w:bCs/>
          <w:sz w:val="24"/>
          <w:szCs w:val="24"/>
        </w:rPr>
      </w:pPr>
      <w:bookmarkStart w:id="0" w:name="_GoBack"/>
      <w:bookmarkEnd w:id="0"/>
    </w:p>
    <w:p w:rsidR="004E6BDA" w:rsidRDefault="004E6BDA" w:rsidP="004E6BD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АНАЛІЗ</w:t>
      </w:r>
    </w:p>
    <w:p w:rsidR="004E6BDA" w:rsidRDefault="004E6BDA" w:rsidP="004E6BD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РЕГУЛЯТОРНОГО ВПЛИВУ</w:t>
      </w:r>
    </w:p>
    <w:p w:rsidR="004E6BDA" w:rsidRDefault="004E6BDA" w:rsidP="004E6BD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проекту рішення </w:t>
      </w:r>
      <w:r w:rsidR="004718A1">
        <w:rPr>
          <w:rFonts w:ascii="Times New Roman" w:eastAsia="Times New Roman" w:hAnsi="Times New Roman" w:cs="Times New Roman"/>
          <w:sz w:val="24"/>
          <w:szCs w:val="24"/>
          <w:lang w:val="uk-UA"/>
        </w:rPr>
        <w:t xml:space="preserve">Червонослобідської </w:t>
      </w:r>
      <w:r>
        <w:rPr>
          <w:rFonts w:ascii="Times New Roman" w:eastAsia="Times New Roman" w:hAnsi="Times New Roman" w:cs="Times New Roman"/>
          <w:sz w:val="24"/>
          <w:szCs w:val="24"/>
        </w:rPr>
        <w:t xml:space="preserve">сільської ради </w:t>
      </w:r>
    </w:p>
    <w:p w:rsidR="004E6BDA" w:rsidRDefault="004E6BDA" w:rsidP="004E6BDA">
      <w:pPr>
        <w:spacing w:after="0" w:line="240" w:lineRule="auto"/>
        <w:ind w:left="720"/>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  податок  на нерухоме  майно, відмінне від земельної ділянки»</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Аналіз регуляторного впливу проекту рішення сільської ради</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b/>
          <w:bCs/>
          <w:sz w:val="24"/>
          <w:szCs w:val="24"/>
        </w:rPr>
        <w:t xml:space="preserve">«Про  податок на нерухоме  майно, відмінне від земельної ділянки» </w:t>
      </w:r>
      <w:r>
        <w:rPr>
          <w:rFonts w:ascii="Times New Roman" w:eastAsia="Times New Roman" w:hAnsi="Times New Roman" w:cs="Times New Roman"/>
          <w:sz w:val="24"/>
          <w:szCs w:val="24"/>
        </w:rPr>
        <w:t>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Кабінету Міністрів України від 11.03.04 № 308   “Про затвердження методик проведення аналізу впливу та відстеження результативності регуляторного акту”,  Закону України</w:t>
      </w:r>
      <w:r w:rsidRPr="004E6BDA">
        <w:t xml:space="preserve"> </w:t>
      </w:r>
      <w:r w:rsidRPr="004E6BDA">
        <w:rPr>
          <w:rFonts w:ascii="Times New Roman" w:eastAsia="Times New Roman" w:hAnsi="Times New Roman" w:cs="Times New Roman"/>
          <w:sz w:val="24"/>
          <w:szCs w:val="24"/>
        </w:rPr>
        <w:t>від 27.03.2014</w:t>
      </w:r>
      <w:r>
        <w:rPr>
          <w:rFonts w:ascii="Times New Roman" w:eastAsia="Times New Roman" w:hAnsi="Times New Roman" w:cs="Times New Roman"/>
          <w:sz w:val="24"/>
          <w:szCs w:val="24"/>
          <w:lang w:val="uk-UA"/>
        </w:rPr>
        <w:t xml:space="preserve"> </w:t>
      </w:r>
      <w:hyperlink r:id="rId5" w:anchor="n226" w:tgtFrame="_blank" w:history="1">
        <w:r>
          <w:rPr>
            <w:rStyle w:val="a3"/>
            <w:i/>
            <w:iCs/>
            <w:color w:val="000099"/>
            <w:sz w:val="32"/>
            <w:szCs w:val="32"/>
            <w:bdr w:val="none" w:sz="0" w:space="0" w:color="auto" w:frame="1"/>
            <w:shd w:val="clear" w:color="auto" w:fill="FFFFFF"/>
          </w:rPr>
          <w:t xml:space="preserve">№ 1166-VII </w:t>
        </w:r>
      </w:hyperlink>
      <w:r>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rPr>
        <w:t xml:space="preserve"> яким внесено зміни до діючої редакції ст.265 «Податок на нерухоме майно, відмінне від земельної ділянки» Податкового кодексу України</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1. Проблема, яку планується розв’язати.</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 прийняттям Податкового кодексу України від 02.12.2010 року №2755 – VI встановлюється новий податок - податок на нерухоме майно відмінне від земельної ділянки, внесення змін відповідно до Закону України від </w:t>
      </w:r>
      <w:r w:rsidRPr="004E6BDA">
        <w:rPr>
          <w:rFonts w:ascii="Times New Roman" w:eastAsia="Times New Roman" w:hAnsi="Times New Roman" w:cs="Times New Roman"/>
          <w:sz w:val="24"/>
          <w:szCs w:val="24"/>
        </w:rPr>
        <w:t>27.03.2014</w:t>
      </w:r>
      <w:r>
        <w:rPr>
          <w:rFonts w:ascii="Times New Roman" w:eastAsia="Times New Roman" w:hAnsi="Times New Roman" w:cs="Times New Roman"/>
          <w:sz w:val="24"/>
          <w:szCs w:val="24"/>
          <w:lang w:val="uk-UA"/>
        </w:rPr>
        <w:t xml:space="preserve"> </w:t>
      </w:r>
      <w:hyperlink r:id="rId6" w:anchor="n226" w:tgtFrame="_blank" w:history="1">
        <w:r>
          <w:rPr>
            <w:rStyle w:val="a3"/>
            <w:i/>
            <w:iCs/>
            <w:color w:val="000099"/>
            <w:sz w:val="32"/>
            <w:szCs w:val="32"/>
            <w:bdr w:val="none" w:sz="0" w:space="0" w:color="auto" w:frame="1"/>
            <w:shd w:val="clear" w:color="auto" w:fill="FFFFFF"/>
          </w:rPr>
          <w:t xml:space="preserve">№ 1166-VII </w:t>
        </w:r>
      </w:hyperlink>
      <w:r>
        <w:rPr>
          <w:rFonts w:ascii="Times New Roman" w:eastAsia="Times New Roman" w:hAnsi="Times New Roman" w:cs="Times New Roman"/>
          <w:sz w:val="24"/>
          <w:szCs w:val="24"/>
        </w:rPr>
        <w:t>, яким внесено зміни до діючої редакції ст.265 «Податок на нерухоме майно, відмінне від земельної ділянки» Податкового кодексу України. Платниками податку є фізичні та юридичні особи, в тому числі нерезиденти, які є власниками об’єктів житлової нерухомості</w:t>
      </w:r>
      <w:r w:rsidR="0058736B">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rPr>
        <w:t xml:space="preserve"> </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База оподаткування об’єктів житлової нерухомості, які перебувають у власності фізичних осіб, обчислюється </w:t>
      </w:r>
      <w:r>
        <w:rPr>
          <w:rFonts w:ascii="Times New Roman" w:eastAsia="Times New Roman" w:hAnsi="Times New Roman" w:cs="Times New Roman"/>
          <w:sz w:val="24"/>
          <w:szCs w:val="24"/>
          <w:lang w:val="uk-UA"/>
        </w:rPr>
        <w:t>контролюючим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органом</w:t>
      </w:r>
      <w:r>
        <w:rPr>
          <w:rFonts w:ascii="Times New Roman" w:eastAsia="Times New Roman" w:hAnsi="Times New Roman" w:cs="Times New Roman"/>
          <w:sz w:val="24"/>
          <w:szCs w:val="24"/>
        </w:rPr>
        <w:t>на підставі даних Державного реєстру речових прав на нерухоме майно, що безоплатно надаються органами державної реєстрації прав на нерухоме майно.</w:t>
      </w:r>
    </w:p>
    <w:p w:rsidR="004E6BDA" w:rsidRDefault="004E6BDA" w:rsidP="005873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База оподаткування об’єкта житлової нерухомості, що перебуває у власності фізичної особи - платника податку, зменшується:</w:t>
      </w:r>
    </w:p>
    <w:p w:rsidR="004E6BDA" w:rsidRPr="00476166" w:rsidRDefault="004E6BDA" w:rsidP="0058736B">
      <w:pPr>
        <w:spacing w:before="100" w:beforeAutospacing="1" w:after="0" w:line="240" w:lineRule="auto"/>
        <w:jc w:val="both"/>
        <w:rPr>
          <w:rFonts w:ascii="Times New Roman" w:eastAsia="Times New Roman" w:hAnsi="Times New Roman" w:cs="Times New Roman"/>
          <w:sz w:val="24"/>
          <w:szCs w:val="24"/>
        </w:rPr>
      </w:pPr>
      <w:r w:rsidRPr="00476166">
        <w:rPr>
          <w:rFonts w:ascii="Times New Roman" w:eastAsia="Times New Roman" w:hAnsi="Times New Roman" w:cs="Times New Roman"/>
          <w:sz w:val="24"/>
          <w:szCs w:val="24"/>
        </w:rPr>
        <w:t>а) для квартири - на 120 кв. метрів;</w:t>
      </w:r>
    </w:p>
    <w:p w:rsidR="004E6BDA" w:rsidRPr="00476166" w:rsidRDefault="004E6BDA" w:rsidP="0058736B">
      <w:pPr>
        <w:spacing w:after="0" w:line="240" w:lineRule="auto"/>
        <w:jc w:val="both"/>
        <w:rPr>
          <w:rFonts w:ascii="Times New Roman" w:eastAsia="Times New Roman" w:hAnsi="Times New Roman" w:cs="Times New Roman"/>
          <w:sz w:val="24"/>
          <w:szCs w:val="24"/>
        </w:rPr>
      </w:pPr>
      <w:r w:rsidRPr="00476166">
        <w:rPr>
          <w:rFonts w:ascii="Times New Roman" w:eastAsia="Times New Roman" w:hAnsi="Times New Roman" w:cs="Times New Roman"/>
          <w:sz w:val="24"/>
          <w:szCs w:val="24"/>
        </w:rPr>
        <w:t>б) для житлового будинку - на 250 кв. метрів.</w:t>
      </w:r>
    </w:p>
    <w:p w:rsidR="004E6BDA" w:rsidRPr="00476166" w:rsidRDefault="004E6BDA" w:rsidP="0058736B">
      <w:pPr>
        <w:spacing w:after="0" w:line="240" w:lineRule="auto"/>
        <w:jc w:val="both"/>
        <w:rPr>
          <w:rFonts w:ascii="Times New Roman" w:eastAsia="Times New Roman" w:hAnsi="Times New Roman" w:cs="Times New Roman"/>
          <w:sz w:val="24"/>
          <w:szCs w:val="24"/>
        </w:rPr>
      </w:pPr>
      <w:r w:rsidRPr="00476166">
        <w:rPr>
          <w:rFonts w:ascii="Times New Roman" w:eastAsia="Times New Roman" w:hAnsi="Times New Roman" w:cs="Times New Roman"/>
          <w:sz w:val="24"/>
          <w:szCs w:val="24"/>
        </w:rPr>
        <w:t>в)для різних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370 кв. метрів.</w:t>
      </w:r>
    </w:p>
    <w:p w:rsidR="004E6BDA" w:rsidRDefault="004E6BDA" w:rsidP="0058736B">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Податкового кодексу України ставки податку встановлюються сільською радою в таких розмірах за 1 кв. метр житлової площі об’єкта житлової нерухомості:</w:t>
      </w:r>
    </w:p>
    <w:p w:rsidR="004E6BDA" w:rsidRDefault="004E6BDA" w:rsidP="005873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bCs/>
          <w:sz w:val="24"/>
          <w:szCs w:val="24"/>
        </w:rPr>
        <w:t>Ставки податку для фізичних осіб встановлюються в таких розмірах:</w:t>
      </w:r>
    </w:p>
    <w:p w:rsidR="004E6BDA" w:rsidRDefault="004E6BDA" w:rsidP="005873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не більше 1 відсотка - для </w:t>
      </w:r>
      <w:r>
        <w:rPr>
          <w:rFonts w:ascii="Times New Roman" w:eastAsia="Times New Roman" w:hAnsi="Times New Roman" w:cs="Times New Roman"/>
          <w:b/>
          <w:bCs/>
          <w:sz w:val="24"/>
          <w:szCs w:val="24"/>
        </w:rPr>
        <w:t>квартири/квартир</w:t>
      </w:r>
      <w:r>
        <w:rPr>
          <w:rFonts w:ascii="Times New Roman" w:eastAsia="Times New Roman" w:hAnsi="Times New Roman" w:cs="Times New Roman"/>
          <w:sz w:val="24"/>
          <w:szCs w:val="24"/>
        </w:rPr>
        <w:t xml:space="preserve">, житлова площа яких не перевищує 240 кв. метрів, або житлового </w:t>
      </w:r>
      <w:r>
        <w:rPr>
          <w:rFonts w:ascii="Times New Roman" w:eastAsia="Times New Roman" w:hAnsi="Times New Roman" w:cs="Times New Roman"/>
          <w:b/>
          <w:bCs/>
          <w:sz w:val="24"/>
          <w:szCs w:val="24"/>
        </w:rPr>
        <w:t>будинку/будинків</w:t>
      </w:r>
      <w:r>
        <w:rPr>
          <w:rFonts w:ascii="Times New Roman" w:eastAsia="Times New Roman" w:hAnsi="Times New Roman" w:cs="Times New Roman"/>
          <w:sz w:val="24"/>
          <w:szCs w:val="24"/>
        </w:rPr>
        <w:t>, житлова площа яких не перевищує 500 кв. метрів;</w:t>
      </w:r>
    </w:p>
    <w:p w:rsidR="004E6BDA" w:rsidRDefault="004E6BDA" w:rsidP="005873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2,7 відсотка - для </w:t>
      </w:r>
      <w:r>
        <w:rPr>
          <w:rFonts w:ascii="Times New Roman" w:eastAsia="Times New Roman" w:hAnsi="Times New Roman" w:cs="Times New Roman"/>
          <w:b/>
          <w:bCs/>
          <w:sz w:val="24"/>
          <w:szCs w:val="24"/>
        </w:rPr>
        <w:t>квартири/квартир</w:t>
      </w:r>
      <w:r>
        <w:rPr>
          <w:rFonts w:ascii="Times New Roman" w:eastAsia="Times New Roman" w:hAnsi="Times New Roman" w:cs="Times New Roman"/>
          <w:sz w:val="24"/>
          <w:szCs w:val="24"/>
        </w:rPr>
        <w:t xml:space="preserve">, житлова площа яких перевищує 240 кв. метрів, або житлового </w:t>
      </w:r>
      <w:r>
        <w:rPr>
          <w:rFonts w:ascii="Times New Roman" w:eastAsia="Times New Roman" w:hAnsi="Times New Roman" w:cs="Times New Roman"/>
          <w:b/>
          <w:bCs/>
          <w:sz w:val="24"/>
          <w:szCs w:val="24"/>
        </w:rPr>
        <w:t>будинку/будинків</w:t>
      </w:r>
      <w:r>
        <w:rPr>
          <w:rFonts w:ascii="Times New Roman" w:eastAsia="Times New Roman" w:hAnsi="Times New Roman" w:cs="Times New Roman"/>
          <w:sz w:val="24"/>
          <w:szCs w:val="24"/>
        </w:rPr>
        <w:t>, житлова площа яких перевищує 500 кв. метрів;</w:t>
      </w:r>
    </w:p>
    <w:p w:rsidR="004E6BDA" w:rsidRDefault="004E6BDA" w:rsidP="005873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1 відсоток - для різних видів об’єктів житлової нерухомості, що перебувають у власності одного платника податку, сумарна житлова площа яких не перевищує 740 кв. метрів; </w:t>
      </w:r>
    </w:p>
    <w:p w:rsidR="004E6BDA" w:rsidRDefault="004E6BDA" w:rsidP="005873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г) 2,7 відсотка - для різних видів об’єктів житлової нерухомості, що перебувають у власності одного платника податку, сумарна житлова площа яких перевищує 740 кв. метрів.</w:t>
      </w:r>
    </w:p>
    <w:p w:rsidR="004E6BDA" w:rsidRDefault="004E6BDA" w:rsidP="004E6BD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bCs/>
          <w:sz w:val="24"/>
          <w:szCs w:val="24"/>
        </w:rPr>
        <w:t> Ставки податку для юридичних осіб встановлюються в таких розмірах:</w:t>
      </w:r>
    </w:p>
    <w:p w:rsidR="004E6BDA" w:rsidRDefault="004E6BDA" w:rsidP="005873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1 відсоток - для квартир, житлова площа яких не перевищує 240 кв. метрів, та житлових будинків, житлова площа яких не перевищує 500 кв. метрів; б) 2,7 відсотка - для квартир, житлова площа яких перевищує 240 кв. метрів, та житлових будинків, житлова площа яких перевищує 500 кв. метрів.</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2. Цілями регулювання є:</w:t>
      </w:r>
    </w:p>
    <w:p w:rsidR="004E6BDA" w:rsidRDefault="004E6BDA" w:rsidP="004E6BD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отримання додаткового обсягу надходжень до сільського бюджету ;</w:t>
      </w:r>
    </w:p>
    <w:p w:rsidR="004E6BDA" w:rsidRDefault="004E6BDA" w:rsidP="005873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забезпечення дотримання вимог Податкового кодексу України від 02.12.2010 року №2755 – VI та</w:t>
      </w:r>
      <w:r w:rsidR="004D414C">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змін відповідно до Закону України від </w:t>
      </w:r>
      <w:r w:rsidR="004D414C">
        <w:rPr>
          <w:rFonts w:ascii="Times New Roman" w:eastAsia="Times New Roman" w:hAnsi="Times New Roman" w:cs="Times New Roman"/>
          <w:sz w:val="24"/>
          <w:szCs w:val="24"/>
          <w:lang w:val="uk-UA"/>
        </w:rPr>
        <w:t>27.03.2014</w:t>
      </w:r>
      <w:r>
        <w:rPr>
          <w:rFonts w:ascii="Times New Roman" w:eastAsia="Times New Roman" w:hAnsi="Times New Roman" w:cs="Times New Roman"/>
          <w:sz w:val="24"/>
          <w:szCs w:val="24"/>
        </w:rPr>
        <w:t xml:space="preserve"> року №</w:t>
      </w:r>
      <w:r w:rsidR="004D414C">
        <w:rPr>
          <w:rFonts w:ascii="Times New Roman" w:eastAsia="Times New Roman" w:hAnsi="Times New Roman" w:cs="Times New Roman"/>
          <w:sz w:val="24"/>
          <w:szCs w:val="24"/>
          <w:lang w:val="uk-UA"/>
        </w:rPr>
        <w:t>1166</w:t>
      </w:r>
      <w:r>
        <w:rPr>
          <w:rFonts w:ascii="Times New Roman" w:eastAsia="Times New Roman" w:hAnsi="Times New Roman" w:cs="Times New Roman"/>
          <w:sz w:val="24"/>
          <w:szCs w:val="24"/>
        </w:rPr>
        <w:t>-VII, яким внесено зміни до діючої редакції ст.265 «Податок на нерухоме майно, відмінне від земельної ділянки» Податкового кодексу України</w:t>
      </w:r>
    </w:p>
    <w:p w:rsidR="004E6BDA" w:rsidRDefault="004E6BDA" w:rsidP="005873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відкритість процедури, прозорість дій органу місцевого самоврядування при вирішенні питань, пов’язаних зі справлянням податку на нерухоме майно відмінне від земельної ділянки.</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008E5651">
        <w:rPr>
          <w:rFonts w:ascii="Times New Roman" w:eastAsia="Times New Roman" w:hAnsi="Times New Roman" w:cs="Times New Roman"/>
          <w:b/>
          <w:bCs/>
          <w:sz w:val="24"/>
          <w:szCs w:val="24"/>
        </w:rPr>
        <w:t xml:space="preserve">3.Визначення </w:t>
      </w:r>
      <w:r>
        <w:rPr>
          <w:rFonts w:ascii="Times New Roman" w:eastAsia="Times New Roman" w:hAnsi="Times New Roman" w:cs="Times New Roman"/>
          <w:b/>
          <w:bCs/>
          <w:sz w:val="24"/>
          <w:szCs w:val="24"/>
        </w:rPr>
        <w:t>та оцінка усіх прийнятих альтер</w:t>
      </w:r>
      <w:r w:rsidR="008E5651">
        <w:rPr>
          <w:rFonts w:ascii="Times New Roman" w:eastAsia="Times New Roman" w:hAnsi="Times New Roman" w:cs="Times New Roman"/>
          <w:b/>
          <w:bCs/>
          <w:sz w:val="24"/>
          <w:szCs w:val="24"/>
        </w:rPr>
        <w:t>нативних способів досягнення </w:t>
      </w:r>
      <w:r>
        <w:rPr>
          <w:rFonts w:ascii="Times New Roman" w:eastAsia="Times New Roman" w:hAnsi="Times New Roman" w:cs="Times New Roman"/>
          <w:b/>
          <w:bCs/>
          <w:sz w:val="24"/>
          <w:szCs w:val="24"/>
        </w:rPr>
        <w:t xml:space="preserve"> зазначених цілей.</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Альтернатива відсутня. Згідно вимог Податкового кодексу України від 02.12.2010 року №2755 – VI введення в дію податку на нерухоме майно відмінного від земельної ділянки є обов’язковим.</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Ставки податку на нерухоме майно відмінне від земельної ділянки, запропоновані проектом рішення Козельненської  сільської ради “Про податок на нерухоме майно відмінне від земельної ділянки”  чітко визначені відповідно до вимог Податкового кодексу України є максимально прийнятними та економічно обґрунтованими.</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Механізм розв’язання проблеми.</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Проблему наповнення доходної частини сільського бюджету пропонується розв’язати шляхом затвердження проекту рішення Козельне</w:t>
      </w:r>
      <w:r w:rsidR="008E5651">
        <w:rPr>
          <w:rFonts w:ascii="Times New Roman" w:eastAsia="Times New Roman" w:hAnsi="Times New Roman" w:cs="Times New Roman"/>
          <w:sz w:val="24"/>
          <w:szCs w:val="24"/>
        </w:rPr>
        <w:t>нської сільської  ради </w:t>
      </w:r>
      <w:r>
        <w:rPr>
          <w:rFonts w:ascii="Times New Roman" w:eastAsia="Times New Roman" w:hAnsi="Times New Roman" w:cs="Times New Roman"/>
          <w:sz w:val="24"/>
          <w:szCs w:val="24"/>
        </w:rPr>
        <w:t xml:space="preserve"> “Про податок на нерухоме майно відмінне від земельної ділянки”.</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Запропонований вихід із ситуації, що склалася, відповідає принципам державної регуляторної політики, а саме: доцільності, ефективності, збалансованості, передбачуваності, принципу прозорості та врахування громадської думки.</w:t>
      </w:r>
    </w:p>
    <w:p w:rsidR="004E6BDA" w:rsidRPr="00476166" w:rsidRDefault="004E6BDA" w:rsidP="004E6BDA">
      <w:pPr>
        <w:spacing w:after="0" w:line="240" w:lineRule="auto"/>
        <w:jc w:val="both"/>
        <w:rPr>
          <w:rFonts w:ascii="Times New Roman" w:eastAsia="Times New Roman" w:hAnsi="Times New Roman" w:cs="Times New Roman"/>
          <w:sz w:val="24"/>
          <w:szCs w:val="24"/>
        </w:rPr>
      </w:pPr>
      <w:r w:rsidRPr="00476166">
        <w:rPr>
          <w:rFonts w:ascii="Times New Roman" w:eastAsia="Times New Roman" w:hAnsi="Times New Roman" w:cs="Times New Roman"/>
          <w:sz w:val="24"/>
          <w:szCs w:val="24"/>
        </w:rPr>
        <w:t>Даний проект рішення сільської ради підлягає оприлюдненню на дошці оголо</w:t>
      </w:r>
      <w:r>
        <w:rPr>
          <w:rFonts w:ascii="Times New Roman" w:eastAsia="Times New Roman" w:hAnsi="Times New Roman" w:cs="Times New Roman"/>
          <w:sz w:val="24"/>
          <w:szCs w:val="24"/>
        </w:rPr>
        <w:t>шень сільської ради Козельненської</w:t>
      </w:r>
      <w:r w:rsidRPr="00476166">
        <w:rPr>
          <w:rFonts w:ascii="Times New Roman" w:eastAsia="Times New Roman" w:hAnsi="Times New Roman" w:cs="Times New Roman"/>
          <w:sz w:val="24"/>
          <w:szCs w:val="24"/>
        </w:rPr>
        <w:t xml:space="preserve"> сільської ради та офіційному сайті Недригайлівської РДА в мережі інтернет.</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 Обґрунтування можливості досягнення встановлених цілей у разі  прийняття запропонованого регуляторного акту.</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Прийняття вищезазначеного рішення сільської ради надає можливість:</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отримати можливість збільшенняі надходженьдо сільського бюджету;</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збільшити обсяги видатків для забезпечення фінансування повноважень органів місцевого самоврядування.</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Позитивними факторами будуть:</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додаткові надходження до сільського бюджету ;</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здійснення планування та прогнозування надходжень від сплати податку на нерухоме майно відмінне від земельної ділянки при формуванні сільського бюджету.</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6. Очікувані результати прийняття запропонованого регуляторного акту.</w:t>
      </w:r>
      <w:r>
        <w:rPr>
          <w:rFonts w:ascii="Times New Roman" w:eastAsia="Times New Roman" w:hAnsi="Times New Roman" w:cs="Times New Roman"/>
          <w:sz w:val="24"/>
          <w:szCs w:val="24"/>
        </w:rPr>
        <w:t xml:space="preserve">Планується можливість стабільного надходження податку на нерухоме майно відмінне від земельної </w:t>
      </w:r>
      <w:r>
        <w:rPr>
          <w:rFonts w:ascii="Times New Roman" w:eastAsia="Times New Roman" w:hAnsi="Times New Roman" w:cs="Times New Roman"/>
          <w:sz w:val="24"/>
          <w:szCs w:val="24"/>
        </w:rPr>
        <w:lastRenderedPageBreak/>
        <w:t>ділянки до сільського бюджету в залежності від кількості введення в експлуатацію нерухомого майна, яке підлягає оподаткуванню та зміни законодавства. Додаткового фінансування введення в дію запропонованого акту не потребує.</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Аналіз вигод та витрат проекту рішення.</w:t>
      </w:r>
    </w:p>
    <w:tbl>
      <w:tblPr>
        <w:tblW w:w="0" w:type="auto"/>
        <w:jc w:val="center"/>
        <w:tblCellMar>
          <w:left w:w="0" w:type="dxa"/>
          <w:right w:w="0" w:type="dxa"/>
        </w:tblCellMar>
        <w:tblLook w:val="04A0" w:firstRow="1" w:lastRow="0" w:firstColumn="1" w:lastColumn="0" w:noHBand="0" w:noVBand="1"/>
      </w:tblPr>
      <w:tblGrid>
        <w:gridCol w:w="3190"/>
        <w:gridCol w:w="3190"/>
        <w:gridCol w:w="3191"/>
      </w:tblGrid>
      <w:tr w:rsidR="004E6BDA" w:rsidTr="0067003E">
        <w:trPr>
          <w:jc w:val="center"/>
        </w:trPr>
        <w:tc>
          <w:tcPr>
            <w:tcW w:w="3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E6BDA" w:rsidRDefault="004E6BDA" w:rsidP="0067003E">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Сфера впливу</w:t>
            </w:r>
          </w:p>
        </w:tc>
        <w:tc>
          <w:tcPr>
            <w:tcW w:w="31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E6BDA" w:rsidRDefault="004E6BDA" w:rsidP="0067003E">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Вигоди</w:t>
            </w:r>
          </w:p>
        </w:tc>
        <w:tc>
          <w:tcPr>
            <w:tcW w:w="31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E6BDA" w:rsidRDefault="004E6BDA" w:rsidP="0067003E">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Витрати </w:t>
            </w:r>
          </w:p>
        </w:tc>
      </w:tr>
      <w:tr w:rsidR="004E6BDA" w:rsidRPr="00F657E0" w:rsidTr="0067003E">
        <w:trPr>
          <w:jc w:val="center"/>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E6BDA" w:rsidRDefault="004E6BDA" w:rsidP="0067003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 місцевого самоврядування</w:t>
            </w:r>
          </w:p>
        </w:tc>
        <w:tc>
          <w:tcPr>
            <w:tcW w:w="3190" w:type="dxa"/>
            <w:tcBorders>
              <w:top w:val="nil"/>
              <w:left w:val="nil"/>
              <w:bottom w:val="single" w:sz="8" w:space="0" w:color="auto"/>
              <w:right w:val="single" w:sz="8" w:space="0" w:color="auto"/>
            </w:tcBorders>
            <w:tcMar>
              <w:top w:w="0" w:type="dxa"/>
              <w:left w:w="108" w:type="dxa"/>
              <w:bottom w:w="0" w:type="dxa"/>
              <w:right w:w="108" w:type="dxa"/>
            </w:tcMar>
            <w:hideMark/>
          </w:tcPr>
          <w:p w:rsidR="004E6BDA" w:rsidRDefault="004E6BDA" w:rsidP="0067003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Збільшення надходжень до сільського бюджету і можливість збільшення витрат на фінансування покладених на органи місцевого самоврядування повноважень.</w:t>
            </w:r>
          </w:p>
        </w:tc>
        <w:tc>
          <w:tcPr>
            <w:tcW w:w="3191" w:type="dxa"/>
            <w:tcBorders>
              <w:top w:val="nil"/>
              <w:left w:val="nil"/>
              <w:bottom w:val="single" w:sz="8" w:space="0" w:color="auto"/>
              <w:right w:val="single" w:sz="8" w:space="0" w:color="auto"/>
            </w:tcBorders>
            <w:tcMar>
              <w:top w:w="0" w:type="dxa"/>
              <w:left w:w="108" w:type="dxa"/>
              <w:bottom w:w="0" w:type="dxa"/>
              <w:right w:w="108" w:type="dxa"/>
            </w:tcMar>
            <w:hideMark/>
          </w:tcPr>
          <w:p w:rsidR="004E6BDA" w:rsidRDefault="004E6BDA" w:rsidP="0067003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Процедура розробки регуляторного акту, збільшення навантажень на працівників державних установ по забезпеченню виконання вимог, встановлених проектом</w:t>
            </w:r>
          </w:p>
        </w:tc>
      </w:tr>
      <w:tr w:rsidR="004E6BDA" w:rsidRPr="00F657E0" w:rsidTr="0067003E">
        <w:trPr>
          <w:jc w:val="center"/>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E6BDA" w:rsidRDefault="004E6BDA" w:rsidP="0067003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Фізичні та юридичні особи, в тому числі нерезиденти, які є власниками об’єктів житлової нерухомості </w:t>
            </w:r>
          </w:p>
        </w:tc>
        <w:tc>
          <w:tcPr>
            <w:tcW w:w="3190" w:type="dxa"/>
            <w:tcBorders>
              <w:top w:val="nil"/>
              <w:left w:val="nil"/>
              <w:bottom w:val="single" w:sz="8" w:space="0" w:color="auto"/>
              <w:right w:val="single" w:sz="8" w:space="0" w:color="auto"/>
            </w:tcBorders>
            <w:tcMar>
              <w:top w:w="0" w:type="dxa"/>
              <w:left w:w="108" w:type="dxa"/>
              <w:bottom w:w="0" w:type="dxa"/>
              <w:right w:w="108" w:type="dxa"/>
            </w:tcMar>
            <w:hideMark/>
          </w:tcPr>
          <w:p w:rsidR="004E6BDA" w:rsidRDefault="004E6BDA" w:rsidP="0067003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Прозорість дій місцевих органів влади, гарантоване забезпечення належними умовами для забезпечення життєдіяльності сільської ради</w:t>
            </w:r>
          </w:p>
        </w:tc>
        <w:tc>
          <w:tcPr>
            <w:tcW w:w="3191" w:type="dxa"/>
            <w:tcBorders>
              <w:top w:val="nil"/>
              <w:left w:val="nil"/>
              <w:bottom w:val="single" w:sz="8" w:space="0" w:color="auto"/>
              <w:right w:val="single" w:sz="8" w:space="0" w:color="auto"/>
            </w:tcBorders>
            <w:tcMar>
              <w:top w:w="0" w:type="dxa"/>
              <w:left w:w="108" w:type="dxa"/>
              <w:bottom w:w="0" w:type="dxa"/>
              <w:right w:w="108" w:type="dxa"/>
            </w:tcMar>
            <w:hideMark/>
          </w:tcPr>
          <w:p w:rsidR="004E6BDA" w:rsidRDefault="004E6BDA" w:rsidP="0067003E">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Витрати на сплату податку на нерухоме майно відмінне від земельної ділянки.</w:t>
            </w:r>
          </w:p>
        </w:tc>
      </w:tr>
    </w:tbl>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7. Обґрунтування терміну дії запропонованого регуляторного акту</w:t>
      </w:r>
      <w:r>
        <w:rPr>
          <w:rFonts w:ascii="Times New Roman" w:eastAsia="Times New Roman" w:hAnsi="Times New Roman" w:cs="Times New Roman"/>
          <w:sz w:val="24"/>
          <w:szCs w:val="24"/>
        </w:rPr>
        <w:t>.</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Термін дії запропонованого регуляторного акту має постійний характер з моменту набрання ним чинності, з можливістю внесення до нього змін та його відміни у разі зміни чинного законодавства, чи в інших необхідних випадках.</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8. Показники результативності регуляторного акту.</w:t>
      </w:r>
    </w:p>
    <w:p w:rsidR="004E6BDA" w:rsidRDefault="004E6BDA" w:rsidP="0058736B">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Показником результативності зазначеного рішення є надходження від сплати податку на нерухоме майно відмінне від земельної ділянки. Базове відстеження здійснювати після набрання чинності регуляторним актом або більшістю його положень, але не пізніше дня, з якого починається проведення повторного відстеження результативності цього рішення; повторне - через рік з дня набрання ним чинності; періодичне - раз на кожні три роки.</w:t>
      </w: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p>
    <w:p w:rsidR="004E6BDA" w:rsidRDefault="004E6BDA" w:rsidP="004E6BD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9. Заходи, за допомогою яких буде здійснюватися відстеження  результативності акту.</w:t>
      </w:r>
    </w:p>
    <w:p w:rsidR="004E6BDA" w:rsidRDefault="004E6BDA" w:rsidP="004E6BD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Відстеження результативності регуляторного акту буде здійснюватися за допомогою наступних заходів:</w:t>
      </w:r>
    </w:p>
    <w:p w:rsidR="004E6BDA" w:rsidRDefault="004E6BDA" w:rsidP="004E6BD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аналіз статистичних даних щодо надходження від сплати податку на нерухоме майно відмінне від земельної ділянки;</w:t>
      </w:r>
    </w:p>
    <w:p w:rsidR="004E6BDA" w:rsidRDefault="004E6BDA" w:rsidP="004E6B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відстеження динаміки зростання надходжень від сплати податку на нерухоме майно відмінне від земельної ділянки.</w:t>
      </w:r>
    </w:p>
    <w:p w:rsidR="004E6BDA" w:rsidRDefault="004E6BDA" w:rsidP="004E6BDA">
      <w:pPr>
        <w:spacing w:after="0" w:line="240" w:lineRule="auto"/>
        <w:jc w:val="both"/>
        <w:rPr>
          <w:rFonts w:ascii="Times New Roman" w:eastAsia="Times New Roman" w:hAnsi="Times New Roman" w:cs="Times New Roman"/>
          <w:sz w:val="24"/>
          <w:szCs w:val="24"/>
        </w:rPr>
      </w:pPr>
    </w:p>
    <w:p w:rsidR="004E6BDA" w:rsidRDefault="004E6BDA" w:rsidP="004E6BDA">
      <w:pPr>
        <w:spacing w:after="0" w:line="240" w:lineRule="auto"/>
        <w:jc w:val="both"/>
        <w:rPr>
          <w:rFonts w:ascii="Times New Roman" w:eastAsia="Times New Roman" w:hAnsi="Times New Roman" w:cs="Times New Roman"/>
          <w:sz w:val="24"/>
          <w:szCs w:val="24"/>
        </w:rPr>
      </w:pPr>
    </w:p>
    <w:p w:rsidR="004E6BDA" w:rsidRPr="004718A1" w:rsidRDefault="004E6BDA" w:rsidP="004E6BD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 Секретар  сільської ради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A5004">
        <w:rPr>
          <w:rFonts w:ascii="Times New Roman" w:eastAsia="Times New Roman" w:hAnsi="Times New Roman" w:cs="Times New Roman"/>
          <w:sz w:val="24"/>
          <w:szCs w:val="24"/>
          <w:lang w:val="uk-UA"/>
        </w:rPr>
        <w:tab/>
      </w:r>
      <w:r w:rsidR="00AA5004">
        <w:rPr>
          <w:rFonts w:ascii="Times New Roman" w:eastAsia="Times New Roman" w:hAnsi="Times New Roman" w:cs="Times New Roman"/>
          <w:sz w:val="24"/>
          <w:szCs w:val="24"/>
          <w:lang w:val="uk-UA"/>
        </w:rPr>
        <w:tab/>
      </w:r>
      <w:r w:rsidR="00AA5004">
        <w:rPr>
          <w:rFonts w:ascii="Times New Roman" w:eastAsia="Times New Roman" w:hAnsi="Times New Roman" w:cs="Times New Roman"/>
          <w:sz w:val="24"/>
          <w:szCs w:val="24"/>
          <w:lang w:val="uk-UA"/>
        </w:rPr>
        <w:tab/>
      </w:r>
      <w:r w:rsidR="00AA5004">
        <w:rPr>
          <w:rFonts w:ascii="Times New Roman" w:eastAsia="Times New Roman" w:hAnsi="Times New Roman" w:cs="Times New Roman"/>
          <w:sz w:val="24"/>
          <w:szCs w:val="24"/>
          <w:lang w:val="uk-UA"/>
        </w:rPr>
        <w:tab/>
      </w:r>
      <w:r w:rsidR="004718A1">
        <w:rPr>
          <w:rFonts w:ascii="Times New Roman" w:eastAsia="Times New Roman" w:hAnsi="Times New Roman" w:cs="Times New Roman"/>
          <w:sz w:val="24"/>
          <w:szCs w:val="24"/>
          <w:lang w:val="uk-UA"/>
        </w:rPr>
        <w:tab/>
        <w:t>К.І Фесенко</w:t>
      </w:r>
    </w:p>
    <w:p w:rsidR="004E6BDA" w:rsidRDefault="004E6BDA" w:rsidP="004E6BDA">
      <w:pPr>
        <w:spacing w:after="0" w:line="240" w:lineRule="auto"/>
        <w:jc w:val="both"/>
        <w:rPr>
          <w:rFonts w:ascii="Times New Roman" w:eastAsia="Times New Roman" w:hAnsi="Times New Roman" w:cs="Times New Roman"/>
          <w:sz w:val="24"/>
          <w:szCs w:val="24"/>
        </w:rPr>
      </w:pPr>
    </w:p>
    <w:p w:rsidR="004E6BDA" w:rsidRDefault="004E6BDA" w:rsidP="004E6BDA">
      <w:pPr>
        <w:spacing w:after="0" w:line="240" w:lineRule="auto"/>
        <w:jc w:val="both"/>
        <w:rPr>
          <w:rFonts w:ascii="Times New Roman" w:eastAsia="Times New Roman" w:hAnsi="Times New Roman" w:cs="Times New Roman"/>
          <w:sz w:val="24"/>
          <w:szCs w:val="24"/>
        </w:rPr>
      </w:pPr>
    </w:p>
    <w:p w:rsidR="004E6BDA" w:rsidRDefault="004E6BDA" w:rsidP="004E6BDA">
      <w:pPr>
        <w:spacing w:before="100" w:beforeAutospacing="1" w:after="0" w:line="240" w:lineRule="auto"/>
        <w:jc w:val="both"/>
        <w:rPr>
          <w:rFonts w:ascii="Times New Roman" w:eastAsia="Times New Roman" w:hAnsi="Times New Roman" w:cs="Times New Roman"/>
          <w:sz w:val="24"/>
          <w:szCs w:val="24"/>
        </w:rPr>
      </w:pPr>
    </w:p>
    <w:p w:rsidR="00077CA5" w:rsidRDefault="00077CA5"/>
    <w:sectPr w:rsidR="00077CA5" w:rsidSect="007745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BDA"/>
    <w:rsid w:val="00077CA5"/>
    <w:rsid w:val="000B0139"/>
    <w:rsid w:val="002E350B"/>
    <w:rsid w:val="004718A1"/>
    <w:rsid w:val="004D414C"/>
    <w:rsid w:val="004E6BDA"/>
    <w:rsid w:val="0058736B"/>
    <w:rsid w:val="007745CD"/>
    <w:rsid w:val="008E5651"/>
    <w:rsid w:val="00AA5004"/>
    <w:rsid w:val="00BF4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6">
    <w:name w:val="rvts46"/>
    <w:basedOn w:val="a0"/>
    <w:rsid w:val="004E6BDA"/>
  </w:style>
  <w:style w:type="character" w:customStyle="1" w:styleId="apple-converted-space">
    <w:name w:val="apple-converted-space"/>
    <w:basedOn w:val="a0"/>
    <w:rsid w:val="004E6BDA"/>
  </w:style>
  <w:style w:type="character" w:styleId="a3">
    <w:name w:val="Hyperlink"/>
    <w:basedOn w:val="a0"/>
    <w:uiPriority w:val="99"/>
    <w:semiHidden/>
    <w:unhideWhenUsed/>
    <w:rsid w:val="004E6B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6">
    <w:name w:val="rvts46"/>
    <w:basedOn w:val="a0"/>
    <w:rsid w:val="004E6BDA"/>
  </w:style>
  <w:style w:type="character" w:customStyle="1" w:styleId="apple-converted-space">
    <w:name w:val="apple-converted-space"/>
    <w:basedOn w:val="a0"/>
    <w:rsid w:val="004E6BDA"/>
  </w:style>
  <w:style w:type="character" w:styleId="a3">
    <w:name w:val="Hyperlink"/>
    <w:basedOn w:val="a0"/>
    <w:uiPriority w:val="99"/>
    <w:semiHidden/>
    <w:unhideWhenUsed/>
    <w:rsid w:val="004E6B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4.rada.gov.ua/laws/show/1166-18/paran226" TargetMode="External"/><Relationship Id="rId5" Type="http://schemas.openxmlformats.org/officeDocument/2006/relationships/hyperlink" Target="http://zakon4.rada.gov.ua/laws/show/1166-18/paran22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1230</Words>
  <Characters>7017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2014-06-02T13:39:00Z</dcterms:created>
  <dcterms:modified xsi:type="dcterms:W3CDTF">2014-06-02T13:39:00Z</dcterms:modified>
</cp:coreProperties>
</file>