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281" w:rsidRPr="00CC7D29" w:rsidRDefault="008627DA" w:rsidP="008627DA">
      <w:pPr>
        <w:spacing w:after="0" w:line="240" w:lineRule="auto"/>
        <w:jc w:val="center"/>
        <w:rPr>
          <w:rFonts w:ascii="Times New Roman" w:hAnsi="Times New Roman" w:cs="Times New Roman"/>
          <w:b/>
          <w:sz w:val="36"/>
          <w:szCs w:val="36"/>
          <w:lang w:val="uk-UA"/>
        </w:rPr>
      </w:pPr>
      <w:r w:rsidRPr="00CC7D29">
        <w:rPr>
          <w:rFonts w:ascii="Times New Roman" w:hAnsi="Times New Roman" w:cs="Times New Roman"/>
          <w:b/>
          <w:sz w:val="36"/>
          <w:szCs w:val="36"/>
          <w:lang w:val="uk-UA"/>
        </w:rPr>
        <w:t>Підсумки роботи регіону за 2014-2108 роки та перспективи розвитку Недригайлівського району на 2019-2021 роки</w:t>
      </w:r>
    </w:p>
    <w:p w:rsidR="008627DA" w:rsidRPr="00307553" w:rsidRDefault="008627DA" w:rsidP="008627DA">
      <w:pPr>
        <w:spacing w:after="0" w:line="240" w:lineRule="auto"/>
        <w:jc w:val="center"/>
        <w:rPr>
          <w:rFonts w:ascii="Times New Roman" w:hAnsi="Times New Roman" w:cs="Times New Roman"/>
          <w:b/>
          <w:sz w:val="28"/>
          <w:szCs w:val="28"/>
          <w:lang w:val="uk-UA"/>
        </w:rPr>
      </w:pPr>
    </w:p>
    <w:p w:rsidR="00307553" w:rsidRDefault="0055086A" w:rsidP="00206F27">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Шановні учасники ради регіонального розвитку Недригайлівського району!</w:t>
      </w:r>
    </w:p>
    <w:p w:rsidR="000C27E0" w:rsidRDefault="000C27E0" w:rsidP="00206F27">
      <w:pPr>
        <w:spacing w:after="0" w:line="240" w:lineRule="auto"/>
        <w:jc w:val="center"/>
        <w:rPr>
          <w:rFonts w:ascii="Times New Roman" w:hAnsi="Times New Roman" w:cs="Times New Roman"/>
          <w:b/>
          <w:sz w:val="28"/>
          <w:szCs w:val="28"/>
          <w:lang w:val="uk-UA"/>
        </w:rPr>
      </w:pPr>
    </w:p>
    <w:p w:rsidR="0055086A" w:rsidRDefault="00D91525" w:rsidP="004A589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5086A">
        <w:rPr>
          <w:rFonts w:ascii="Times New Roman" w:hAnsi="Times New Roman" w:cs="Times New Roman"/>
          <w:sz w:val="28"/>
          <w:szCs w:val="28"/>
          <w:lang w:val="uk-UA"/>
        </w:rPr>
        <w:t>На початку я хотів би навести слова Президента України на УІІ Раді</w:t>
      </w:r>
      <w:r w:rsidR="00130676">
        <w:rPr>
          <w:rFonts w:ascii="Times New Roman" w:hAnsi="Times New Roman" w:cs="Times New Roman"/>
          <w:sz w:val="28"/>
          <w:szCs w:val="28"/>
          <w:lang w:val="uk-UA"/>
        </w:rPr>
        <w:t xml:space="preserve"> регіонального розвитку України, де зазначалося</w:t>
      </w:r>
      <w:r w:rsidR="0055086A">
        <w:rPr>
          <w:rFonts w:ascii="Times New Roman" w:hAnsi="Times New Roman" w:cs="Times New Roman"/>
          <w:sz w:val="28"/>
          <w:szCs w:val="28"/>
          <w:lang w:val="uk-UA"/>
        </w:rPr>
        <w:t>, що Єврокоміса</w:t>
      </w:r>
      <w:r w:rsidR="00130676">
        <w:rPr>
          <w:rFonts w:ascii="Times New Roman" w:hAnsi="Times New Roman" w:cs="Times New Roman"/>
          <w:sz w:val="28"/>
          <w:szCs w:val="28"/>
          <w:lang w:val="uk-UA"/>
        </w:rPr>
        <w:t>р</w:t>
      </w:r>
      <w:r w:rsidR="0055086A">
        <w:rPr>
          <w:rFonts w:ascii="Times New Roman" w:hAnsi="Times New Roman" w:cs="Times New Roman"/>
          <w:sz w:val="28"/>
          <w:szCs w:val="28"/>
          <w:lang w:val="uk-UA"/>
        </w:rPr>
        <w:t xml:space="preserve"> Євросоюзу пан Йоганнсс Ган сказав: «Багатьом зрозуміло, що за останні роки Україна зробила більше, ніж за попередні двадцять років».</w:t>
      </w:r>
    </w:p>
    <w:p w:rsidR="0055086A" w:rsidRDefault="0055086A" w:rsidP="004A58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Також Президент зазначив, що незважаючи на високі оцінки закордонних партнерів</w:t>
      </w:r>
      <w:r w:rsidR="00757AFE">
        <w:rPr>
          <w:rFonts w:ascii="Times New Roman" w:hAnsi="Times New Roman" w:cs="Times New Roman"/>
          <w:sz w:val="28"/>
          <w:szCs w:val="28"/>
          <w:lang w:val="uk-UA"/>
        </w:rPr>
        <w:t>,</w:t>
      </w:r>
      <w:r>
        <w:rPr>
          <w:rFonts w:ascii="Times New Roman" w:hAnsi="Times New Roman" w:cs="Times New Roman"/>
          <w:sz w:val="28"/>
          <w:szCs w:val="28"/>
          <w:lang w:val="uk-UA"/>
        </w:rPr>
        <w:t xml:space="preserve"> 70% населення вважає, що країна рухається у неправильному напрямку, а це водночас значить, що всі ми недопрацьовуємо.</w:t>
      </w:r>
    </w:p>
    <w:p w:rsidR="0055086A" w:rsidRDefault="0055086A" w:rsidP="004A589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правило більшість реформ носить далекосяжний стратегічний характер: негативні і болісні аспекти проявляються одразу, а позитивні зміни даються взнаки за рік, два, три або навіть і більше. </w:t>
      </w:r>
    </w:p>
    <w:p w:rsidR="0055086A" w:rsidRDefault="0055086A" w:rsidP="00757AF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І хоча економіка країни дає хоч і невеликий ріст, та це не дозволяє відмовитися від кредитів міжнародних фінансових організацій.</w:t>
      </w:r>
      <w:r w:rsidR="00757AFE">
        <w:rPr>
          <w:rFonts w:ascii="Times New Roman" w:hAnsi="Times New Roman" w:cs="Times New Roman"/>
          <w:sz w:val="28"/>
          <w:szCs w:val="28"/>
          <w:lang w:val="uk-UA"/>
        </w:rPr>
        <w:t xml:space="preserve"> </w:t>
      </w:r>
      <w:r>
        <w:rPr>
          <w:rFonts w:ascii="Times New Roman" w:hAnsi="Times New Roman" w:cs="Times New Roman"/>
          <w:sz w:val="28"/>
          <w:szCs w:val="28"/>
          <w:lang w:val="uk-UA"/>
        </w:rPr>
        <w:t>Задля ви</w:t>
      </w:r>
      <w:r w:rsidR="00757AFE">
        <w:rPr>
          <w:rFonts w:ascii="Times New Roman" w:hAnsi="Times New Roman" w:cs="Times New Roman"/>
          <w:sz w:val="28"/>
          <w:szCs w:val="28"/>
          <w:lang w:val="uk-UA"/>
        </w:rPr>
        <w:t>плати старих міжнародних боргів</w:t>
      </w:r>
      <w:r>
        <w:rPr>
          <w:rFonts w:ascii="Times New Roman" w:hAnsi="Times New Roman" w:cs="Times New Roman"/>
          <w:sz w:val="28"/>
          <w:szCs w:val="28"/>
          <w:lang w:val="uk-UA"/>
        </w:rPr>
        <w:t>, отриманих у 2007-2009 роках  (23) та у 2010-2013 роках (32), а це понад 55 млрд. гривень</w:t>
      </w:r>
      <w:r w:rsidR="00757AF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757AFE">
        <w:rPr>
          <w:rFonts w:ascii="Times New Roman" w:hAnsi="Times New Roman" w:cs="Times New Roman"/>
          <w:sz w:val="28"/>
          <w:szCs w:val="28"/>
          <w:lang w:val="uk-UA"/>
        </w:rPr>
        <w:t>П</w:t>
      </w:r>
      <w:r>
        <w:rPr>
          <w:rFonts w:ascii="Times New Roman" w:hAnsi="Times New Roman" w:cs="Times New Roman"/>
          <w:sz w:val="28"/>
          <w:szCs w:val="28"/>
          <w:lang w:val="uk-UA"/>
        </w:rPr>
        <w:t>ік виплат припадає на 2019-2020 роки, що і змушує Кабмін залучати кредити МВФ.</w:t>
      </w:r>
    </w:p>
    <w:p w:rsidR="000563C7" w:rsidRDefault="00C978E8" w:rsidP="004A58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2016 році </w:t>
      </w:r>
      <w:r w:rsidR="000563C7">
        <w:rPr>
          <w:rFonts w:ascii="Times New Roman" w:hAnsi="Times New Roman" w:cs="Times New Roman"/>
          <w:sz w:val="28"/>
          <w:szCs w:val="28"/>
          <w:lang w:val="uk-UA"/>
        </w:rPr>
        <w:t xml:space="preserve">зовнішньо-торговельне навантаження у співвідношенні валового внутрішнього продукту на суму </w:t>
      </w:r>
      <w:r w:rsidR="000563C7" w:rsidRPr="000563C7">
        <w:rPr>
          <w:rFonts w:ascii="Times New Roman" w:hAnsi="Times New Roman" w:cs="Times New Roman"/>
          <w:b/>
          <w:sz w:val="28"/>
          <w:szCs w:val="28"/>
          <w:lang w:val="uk-UA"/>
        </w:rPr>
        <w:t>суверенного</w:t>
      </w:r>
      <w:r w:rsidR="000563C7">
        <w:rPr>
          <w:rFonts w:ascii="Times New Roman" w:hAnsi="Times New Roman" w:cs="Times New Roman"/>
          <w:sz w:val="28"/>
          <w:szCs w:val="28"/>
          <w:lang w:val="uk-UA"/>
        </w:rPr>
        <w:t xml:space="preserve"> боргу складало майже 83%, а в середині 2018 року – 60%, а це значить, що боргове навантаження зменшилося на 20%. Однією із головних і дієвих реформ є децентралізація, метою якої є передача ресурсу на місця з метою розвитку територій на місцях.</w:t>
      </w:r>
    </w:p>
    <w:p w:rsidR="00C978E8" w:rsidRDefault="000563C7" w:rsidP="004A58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результаті, частка місцевих бюджетів у зведеному бюджеті України перевищила 50%, власні надходження зросли з 60 до 230 млрд. гривень – це </w:t>
      </w:r>
      <w:r w:rsidRPr="000563C7">
        <w:rPr>
          <w:rFonts w:ascii="Times New Roman" w:hAnsi="Times New Roman" w:cs="Times New Roman"/>
          <w:sz w:val="28"/>
          <w:szCs w:val="28"/>
          <w:u w:val="single"/>
          <w:lang w:val="uk-UA"/>
        </w:rPr>
        <w:t>170 млрд</w:t>
      </w:r>
      <w:r>
        <w:rPr>
          <w:rFonts w:ascii="Times New Roman" w:hAnsi="Times New Roman" w:cs="Times New Roman"/>
          <w:sz w:val="28"/>
          <w:szCs w:val="28"/>
          <w:u w:val="single"/>
          <w:lang w:val="uk-UA"/>
        </w:rPr>
        <w:t>.</w:t>
      </w:r>
      <w:r w:rsidRPr="000563C7">
        <w:rPr>
          <w:rFonts w:ascii="Times New Roman" w:hAnsi="Times New Roman" w:cs="Times New Roman"/>
          <w:sz w:val="28"/>
          <w:szCs w:val="28"/>
          <w:u w:val="single"/>
          <w:lang w:val="uk-UA"/>
        </w:rPr>
        <w:t xml:space="preserve"> гривень</w:t>
      </w:r>
      <w:r>
        <w:rPr>
          <w:rFonts w:ascii="Times New Roman" w:hAnsi="Times New Roman" w:cs="Times New Roman"/>
          <w:sz w:val="28"/>
          <w:szCs w:val="28"/>
          <w:lang w:val="uk-UA"/>
        </w:rPr>
        <w:t>, які передбачені на місця, а не розподілялися із Києва.</w:t>
      </w:r>
    </w:p>
    <w:p w:rsidR="000563C7" w:rsidRDefault="000563C7" w:rsidP="004A58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Розмір державної підтримки на розвиток громад та розбудови інфраструктури за 4 роки збільшився </w:t>
      </w:r>
      <w:r w:rsidRPr="000563C7">
        <w:rPr>
          <w:rFonts w:ascii="Times New Roman" w:hAnsi="Times New Roman" w:cs="Times New Roman"/>
          <w:sz w:val="28"/>
          <w:szCs w:val="28"/>
          <w:u w:val="single"/>
          <w:lang w:val="uk-UA"/>
        </w:rPr>
        <w:t>у 39 разів</w:t>
      </w:r>
      <w:r>
        <w:rPr>
          <w:rFonts w:ascii="Times New Roman" w:hAnsi="Times New Roman" w:cs="Times New Roman"/>
          <w:sz w:val="28"/>
          <w:szCs w:val="28"/>
          <w:lang w:val="uk-UA"/>
        </w:rPr>
        <w:t xml:space="preserve"> .</w:t>
      </w:r>
    </w:p>
    <w:p w:rsidR="00E146EA" w:rsidRDefault="00E146EA" w:rsidP="004A589E">
      <w:pPr>
        <w:spacing w:after="0" w:line="240" w:lineRule="auto"/>
        <w:ind w:firstLine="851"/>
        <w:jc w:val="both"/>
        <w:rPr>
          <w:rFonts w:ascii="Times New Roman" w:hAnsi="Times New Roman" w:cs="Times New Roman"/>
          <w:sz w:val="28"/>
          <w:szCs w:val="28"/>
          <w:lang w:val="uk-UA"/>
        </w:rPr>
      </w:pPr>
    </w:p>
    <w:p w:rsidR="000563C7" w:rsidRDefault="000563C7" w:rsidP="004A58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А зараз я зупинюся на реалізацію завдань щодо соціально-економічного розвитку Недригайлівськог</w:t>
      </w:r>
      <w:r w:rsidR="00757AFE">
        <w:rPr>
          <w:rFonts w:ascii="Times New Roman" w:hAnsi="Times New Roman" w:cs="Times New Roman"/>
          <w:sz w:val="28"/>
          <w:szCs w:val="28"/>
          <w:lang w:val="uk-UA"/>
        </w:rPr>
        <w:t>о   району за ост</w:t>
      </w:r>
      <w:r>
        <w:rPr>
          <w:rFonts w:ascii="Times New Roman" w:hAnsi="Times New Roman" w:cs="Times New Roman"/>
          <w:sz w:val="28"/>
          <w:szCs w:val="28"/>
          <w:lang w:val="uk-UA"/>
        </w:rPr>
        <w:t>ан</w:t>
      </w:r>
      <w:r w:rsidR="00757AFE">
        <w:rPr>
          <w:rFonts w:ascii="Times New Roman" w:hAnsi="Times New Roman" w:cs="Times New Roman"/>
          <w:sz w:val="28"/>
          <w:szCs w:val="28"/>
          <w:lang w:val="uk-UA"/>
        </w:rPr>
        <w:t>ні 4   роки та формуванні пе</w:t>
      </w:r>
      <w:r>
        <w:rPr>
          <w:rFonts w:ascii="Times New Roman" w:hAnsi="Times New Roman" w:cs="Times New Roman"/>
          <w:sz w:val="28"/>
          <w:szCs w:val="28"/>
          <w:lang w:val="uk-UA"/>
        </w:rPr>
        <w:t>рспективного плану розвитку до 2021 року.</w:t>
      </w:r>
    </w:p>
    <w:p w:rsidR="00853F1F" w:rsidRPr="00D300CD" w:rsidRDefault="0055086A" w:rsidP="00EB046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91525">
        <w:rPr>
          <w:rFonts w:ascii="Times New Roman" w:hAnsi="Times New Roman" w:cs="Times New Roman"/>
          <w:sz w:val="28"/>
          <w:szCs w:val="28"/>
          <w:lang w:val="uk-UA"/>
        </w:rPr>
        <w:t xml:space="preserve"> </w:t>
      </w:r>
      <w:r w:rsidR="00FB2433" w:rsidRPr="00D300CD">
        <w:rPr>
          <w:rFonts w:ascii="Times New Roman" w:hAnsi="Times New Roman" w:cs="Times New Roman"/>
          <w:sz w:val="28"/>
          <w:szCs w:val="28"/>
          <w:lang w:val="uk-UA"/>
        </w:rPr>
        <w:t>Починаючи з 2015 року проводилас</w:t>
      </w:r>
      <w:r w:rsidR="00916D15" w:rsidRPr="00D300CD">
        <w:rPr>
          <w:rFonts w:ascii="Times New Roman" w:hAnsi="Times New Roman" w:cs="Times New Roman"/>
          <w:sz w:val="28"/>
          <w:szCs w:val="28"/>
          <w:lang w:val="uk-UA"/>
        </w:rPr>
        <w:t>я</w:t>
      </w:r>
      <w:r w:rsidR="00FB2433" w:rsidRPr="00D300CD">
        <w:rPr>
          <w:rFonts w:ascii="Times New Roman" w:hAnsi="Times New Roman" w:cs="Times New Roman"/>
          <w:sz w:val="28"/>
          <w:szCs w:val="28"/>
          <w:lang w:val="uk-UA"/>
        </w:rPr>
        <w:t xml:space="preserve"> робота по створенню об’єднаних територіальних громад  </w:t>
      </w:r>
      <w:r w:rsidR="00CF2C92">
        <w:rPr>
          <w:rFonts w:ascii="Times New Roman" w:hAnsi="Times New Roman" w:cs="Times New Roman"/>
          <w:sz w:val="28"/>
          <w:szCs w:val="28"/>
          <w:lang w:val="uk-UA"/>
        </w:rPr>
        <w:t xml:space="preserve">та </w:t>
      </w:r>
      <w:r w:rsidR="009B7585">
        <w:rPr>
          <w:rFonts w:ascii="Times New Roman" w:hAnsi="Times New Roman" w:cs="Times New Roman"/>
          <w:sz w:val="28"/>
          <w:szCs w:val="28"/>
          <w:lang w:val="uk-UA"/>
        </w:rPr>
        <w:t xml:space="preserve">реалізації на теренах Недригайлівського району </w:t>
      </w:r>
      <w:r w:rsidR="00CF2C92">
        <w:rPr>
          <w:rFonts w:ascii="Times New Roman" w:hAnsi="Times New Roman" w:cs="Times New Roman"/>
          <w:sz w:val="28"/>
          <w:szCs w:val="28"/>
          <w:lang w:val="uk-UA"/>
        </w:rPr>
        <w:t xml:space="preserve">реформи </w:t>
      </w:r>
      <w:r w:rsidR="00FB2433" w:rsidRPr="00D300CD">
        <w:rPr>
          <w:rFonts w:ascii="Times New Roman" w:hAnsi="Times New Roman" w:cs="Times New Roman"/>
          <w:sz w:val="28"/>
          <w:szCs w:val="28"/>
          <w:lang w:val="uk-UA"/>
        </w:rPr>
        <w:t xml:space="preserve">децентралізації. </w:t>
      </w:r>
    </w:p>
    <w:p w:rsidR="00C6464A" w:rsidRDefault="00FB2433" w:rsidP="00D300CD">
      <w:pPr>
        <w:pStyle w:val="a3"/>
        <w:shd w:val="clear" w:color="auto" w:fill="FFFFFF"/>
        <w:tabs>
          <w:tab w:val="left" w:pos="709"/>
        </w:tabs>
        <w:ind w:left="0" w:firstLine="851"/>
        <w:jc w:val="both"/>
        <w:rPr>
          <w:rFonts w:ascii="Times New Roman" w:hAnsi="Times New Roman" w:cs="Times New Roman"/>
          <w:color w:val="000000"/>
          <w:sz w:val="28"/>
          <w:szCs w:val="28"/>
          <w:lang w:val="uk-UA"/>
        </w:rPr>
      </w:pPr>
      <w:r w:rsidRPr="00D300CD">
        <w:rPr>
          <w:rFonts w:ascii="Times New Roman" w:hAnsi="Times New Roman" w:cs="Times New Roman"/>
          <w:sz w:val="28"/>
          <w:szCs w:val="28"/>
          <w:lang w:val="uk-UA"/>
        </w:rPr>
        <w:t>Станом на 01.01.2014 року в райо</w:t>
      </w:r>
      <w:r w:rsidR="00C00275" w:rsidRPr="00D300CD">
        <w:rPr>
          <w:rFonts w:ascii="Times New Roman" w:hAnsi="Times New Roman" w:cs="Times New Roman"/>
          <w:sz w:val="28"/>
          <w:szCs w:val="28"/>
          <w:lang w:val="uk-UA"/>
        </w:rPr>
        <w:t>ні працювало 2 селищні та 17 сі</w:t>
      </w:r>
      <w:r w:rsidRPr="00D300CD">
        <w:rPr>
          <w:rFonts w:ascii="Times New Roman" w:hAnsi="Times New Roman" w:cs="Times New Roman"/>
          <w:sz w:val="28"/>
          <w:szCs w:val="28"/>
          <w:lang w:val="uk-UA"/>
        </w:rPr>
        <w:t>ль</w:t>
      </w:r>
      <w:r w:rsidR="00C00275" w:rsidRPr="00D300CD">
        <w:rPr>
          <w:rFonts w:ascii="Times New Roman" w:hAnsi="Times New Roman" w:cs="Times New Roman"/>
          <w:sz w:val="28"/>
          <w:szCs w:val="28"/>
          <w:lang w:val="uk-UA"/>
        </w:rPr>
        <w:t>сь</w:t>
      </w:r>
      <w:r w:rsidRPr="00D300CD">
        <w:rPr>
          <w:rFonts w:ascii="Times New Roman" w:hAnsi="Times New Roman" w:cs="Times New Roman"/>
          <w:sz w:val="28"/>
          <w:szCs w:val="28"/>
          <w:lang w:val="uk-UA"/>
        </w:rPr>
        <w:t xml:space="preserve">ких рад. </w:t>
      </w:r>
      <w:r w:rsidR="00826FFC">
        <w:rPr>
          <w:rFonts w:ascii="Times New Roman" w:hAnsi="Times New Roman" w:cs="Times New Roman"/>
          <w:sz w:val="28"/>
          <w:szCs w:val="28"/>
          <w:lang w:val="uk-UA"/>
        </w:rPr>
        <w:t xml:space="preserve">В 2016 році </w:t>
      </w:r>
      <w:r w:rsidRPr="00D300CD">
        <w:rPr>
          <w:rFonts w:ascii="Times New Roman" w:hAnsi="Times New Roman" w:cs="Times New Roman"/>
          <w:sz w:val="28"/>
          <w:szCs w:val="28"/>
          <w:lang w:val="uk-UA"/>
        </w:rPr>
        <w:t>утворено Недригайлівську селищну ОТГ, до складу</w:t>
      </w:r>
      <w:r w:rsidR="00B2535B" w:rsidRPr="00D300CD">
        <w:rPr>
          <w:rFonts w:ascii="Times New Roman" w:hAnsi="Times New Roman" w:cs="Times New Roman"/>
          <w:sz w:val="28"/>
          <w:szCs w:val="28"/>
          <w:lang w:val="uk-UA"/>
        </w:rPr>
        <w:t xml:space="preserve"> якої ввійшл</w:t>
      </w:r>
      <w:r w:rsidR="00CF2C92">
        <w:rPr>
          <w:rFonts w:ascii="Times New Roman" w:hAnsi="Times New Roman" w:cs="Times New Roman"/>
          <w:sz w:val="28"/>
          <w:szCs w:val="28"/>
          <w:lang w:val="uk-UA"/>
        </w:rPr>
        <w:t>и</w:t>
      </w:r>
      <w:r w:rsidR="00B2535B" w:rsidRPr="00D300CD">
        <w:rPr>
          <w:rFonts w:ascii="Times New Roman" w:hAnsi="Times New Roman" w:cs="Times New Roman"/>
          <w:sz w:val="28"/>
          <w:szCs w:val="28"/>
          <w:lang w:val="uk-UA"/>
        </w:rPr>
        <w:t xml:space="preserve"> 1 селищна та 5 сі</w:t>
      </w:r>
      <w:r w:rsidRPr="00D300CD">
        <w:rPr>
          <w:rFonts w:ascii="Times New Roman" w:hAnsi="Times New Roman" w:cs="Times New Roman"/>
          <w:sz w:val="28"/>
          <w:szCs w:val="28"/>
          <w:lang w:val="uk-UA"/>
        </w:rPr>
        <w:t>ль</w:t>
      </w:r>
      <w:r w:rsidR="00B2535B" w:rsidRPr="00D300CD">
        <w:rPr>
          <w:rFonts w:ascii="Times New Roman" w:hAnsi="Times New Roman" w:cs="Times New Roman"/>
          <w:sz w:val="28"/>
          <w:szCs w:val="28"/>
          <w:lang w:val="uk-UA"/>
        </w:rPr>
        <w:t>сь</w:t>
      </w:r>
      <w:r w:rsidRPr="00D300CD">
        <w:rPr>
          <w:rFonts w:ascii="Times New Roman" w:hAnsi="Times New Roman" w:cs="Times New Roman"/>
          <w:sz w:val="28"/>
          <w:szCs w:val="28"/>
          <w:lang w:val="uk-UA"/>
        </w:rPr>
        <w:t xml:space="preserve">ких рад. </w:t>
      </w:r>
      <w:r w:rsidR="00826FFC">
        <w:rPr>
          <w:rFonts w:ascii="Times New Roman" w:hAnsi="Times New Roman" w:cs="Times New Roman"/>
          <w:sz w:val="28"/>
          <w:szCs w:val="28"/>
          <w:lang w:val="uk-UA"/>
        </w:rPr>
        <w:t xml:space="preserve">З початку </w:t>
      </w:r>
      <w:r w:rsidRPr="00D300CD">
        <w:rPr>
          <w:rFonts w:ascii="Times New Roman" w:hAnsi="Times New Roman" w:cs="Times New Roman"/>
          <w:sz w:val="28"/>
          <w:szCs w:val="28"/>
          <w:lang w:val="uk-UA"/>
        </w:rPr>
        <w:t>2018 року працюва</w:t>
      </w:r>
      <w:r w:rsidR="00826FFC">
        <w:rPr>
          <w:rFonts w:ascii="Times New Roman" w:hAnsi="Times New Roman" w:cs="Times New Roman"/>
          <w:sz w:val="28"/>
          <w:szCs w:val="28"/>
          <w:lang w:val="uk-UA"/>
        </w:rPr>
        <w:t>є</w:t>
      </w:r>
      <w:r w:rsidRPr="00D300CD">
        <w:rPr>
          <w:rFonts w:ascii="Times New Roman" w:hAnsi="Times New Roman" w:cs="Times New Roman"/>
          <w:sz w:val="28"/>
          <w:szCs w:val="28"/>
          <w:lang w:val="uk-UA"/>
        </w:rPr>
        <w:t xml:space="preserve"> три громади – Недригайлівська</w:t>
      </w:r>
      <w:r w:rsidR="00CF2C92">
        <w:rPr>
          <w:rFonts w:ascii="Times New Roman" w:hAnsi="Times New Roman" w:cs="Times New Roman"/>
          <w:sz w:val="28"/>
          <w:szCs w:val="28"/>
          <w:lang w:val="uk-UA"/>
        </w:rPr>
        <w:t xml:space="preserve"> </w:t>
      </w:r>
      <w:r w:rsidRPr="00D300CD">
        <w:rPr>
          <w:rFonts w:ascii="Times New Roman" w:hAnsi="Times New Roman" w:cs="Times New Roman"/>
          <w:sz w:val="28"/>
          <w:szCs w:val="28"/>
          <w:lang w:val="uk-UA"/>
        </w:rPr>
        <w:t xml:space="preserve">селищна та </w:t>
      </w:r>
      <w:r w:rsidR="00CF2C92">
        <w:rPr>
          <w:rFonts w:ascii="Times New Roman" w:hAnsi="Times New Roman" w:cs="Times New Roman"/>
          <w:sz w:val="28"/>
          <w:szCs w:val="28"/>
          <w:lang w:val="uk-UA"/>
        </w:rPr>
        <w:t xml:space="preserve">2 </w:t>
      </w:r>
      <w:r w:rsidR="00CF2C92" w:rsidRPr="00D300CD">
        <w:rPr>
          <w:rFonts w:ascii="Times New Roman" w:hAnsi="Times New Roman" w:cs="Times New Roman"/>
          <w:sz w:val="28"/>
          <w:szCs w:val="28"/>
          <w:lang w:val="uk-UA"/>
        </w:rPr>
        <w:t>сільські</w:t>
      </w:r>
      <w:r w:rsidR="00CF2C92">
        <w:rPr>
          <w:rFonts w:ascii="Times New Roman" w:hAnsi="Times New Roman" w:cs="Times New Roman"/>
          <w:sz w:val="28"/>
          <w:szCs w:val="28"/>
          <w:lang w:val="uk-UA"/>
        </w:rPr>
        <w:t xml:space="preserve"> -</w:t>
      </w:r>
      <w:r w:rsidR="00CF2C92" w:rsidRPr="00D300CD">
        <w:rPr>
          <w:rFonts w:ascii="Times New Roman" w:hAnsi="Times New Roman" w:cs="Times New Roman"/>
          <w:sz w:val="28"/>
          <w:szCs w:val="28"/>
          <w:lang w:val="uk-UA"/>
        </w:rPr>
        <w:t xml:space="preserve"> </w:t>
      </w:r>
      <w:r w:rsidRPr="00D300CD">
        <w:rPr>
          <w:rFonts w:ascii="Times New Roman" w:hAnsi="Times New Roman" w:cs="Times New Roman"/>
          <w:sz w:val="28"/>
          <w:szCs w:val="28"/>
          <w:lang w:val="uk-UA"/>
        </w:rPr>
        <w:t>Вільшанська</w:t>
      </w:r>
      <w:r w:rsidR="00CF2C92">
        <w:rPr>
          <w:rFonts w:ascii="Times New Roman" w:hAnsi="Times New Roman" w:cs="Times New Roman"/>
          <w:sz w:val="28"/>
          <w:szCs w:val="28"/>
          <w:lang w:val="uk-UA"/>
        </w:rPr>
        <w:t xml:space="preserve"> (5 сільських рад)</w:t>
      </w:r>
      <w:r w:rsidRPr="00D300CD">
        <w:rPr>
          <w:rFonts w:ascii="Times New Roman" w:hAnsi="Times New Roman" w:cs="Times New Roman"/>
          <w:sz w:val="28"/>
          <w:szCs w:val="28"/>
          <w:lang w:val="uk-UA"/>
        </w:rPr>
        <w:t xml:space="preserve"> і Коровинська</w:t>
      </w:r>
      <w:r w:rsidR="00CF2C92">
        <w:rPr>
          <w:rFonts w:ascii="Times New Roman" w:hAnsi="Times New Roman" w:cs="Times New Roman"/>
          <w:sz w:val="28"/>
          <w:szCs w:val="28"/>
          <w:lang w:val="uk-UA"/>
        </w:rPr>
        <w:t xml:space="preserve"> (три сільські ради)</w:t>
      </w:r>
      <w:r w:rsidRPr="00D300CD">
        <w:rPr>
          <w:rFonts w:ascii="Times New Roman" w:hAnsi="Times New Roman" w:cs="Times New Roman"/>
          <w:sz w:val="28"/>
          <w:szCs w:val="28"/>
          <w:lang w:val="uk-UA"/>
        </w:rPr>
        <w:t>.</w:t>
      </w:r>
      <w:r w:rsidR="00F803A8" w:rsidRPr="00D300CD">
        <w:rPr>
          <w:rFonts w:ascii="Times New Roman" w:hAnsi="Times New Roman" w:cs="Times New Roman"/>
          <w:sz w:val="28"/>
          <w:szCs w:val="28"/>
          <w:lang w:val="uk-UA"/>
        </w:rPr>
        <w:t xml:space="preserve"> </w:t>
      </w:r>
      <w:r w:rsidR="00F803A8" w:rsidRPr="00D300CD">
        <w:rPr>
          <w:rFonts w:ascii="Times New Roman" w:hAnsi="Times New Roman" w:cs="Times New Roman"/>
          <w:color w:val="000000"/>
          <w:sz w:val="28"/>
          <w:szCs w:val="28"/>
          <w:lang w:val="uk-UA"/>
        </w:rPr>
        <w:t xml:space="preserve">Територія </w:t>
      </w:r>
      <w:r w:rsidR="00F803A8" w:rsidRPr="00D300CD">
        <w:rPr>
          <w:rFonts w:ascii="Times New Roman" w:hAnsi="Times New Roman" w:cs="Times New Roman"/>
          <w:color w:val="000000"/>
          <w:sz w:val="28"/>
          <w:szCs w:val="28"/>
          <w:lang w:val="uk-UA"/>
        </w:rPr>
        <w:lastRenderedPageBreak/>
        <w:t>громад складає  75,5 тис км кв, що становить 75% до території Недриг</w:t>
      </w:r>
      <w:r w:rsidR="00826FFC">
        <w:rPr>
          <w:rFonts w:ascii="Times New Roman" w:hAnsi="Times New Roman" w:cs="Times New Roman"/>
          <w:color w:val="000000"/>
          <w:sz w:val="28"/>
          <w:szCs w:val="28"/>
          <w:lang w:val="uk-UA"/>
        </w:rPr>
        <w:t>айлівського району. В громадах зареєстровано</w:t>
      </w:r>
      <w:r w:rsidR="00F803A8" w:rsidRPr="00D300CD">
        <w:rPr>
          <w:rFonts w:ascii="Times New Roman" w:hAnsi="Times New Roman" w:cs="Times New Roman"/>
          <w:color w:val="000000"/>
          <w:sz w:val="28"/>
          <w:szCs w:val="28"/>
          <w:lang w:val="uk-UA"/>
        </w:rPr>
        <w:t xml:space="preserve"> 20,6 тис.  населення з 24,0 тис. </w:t>
      </w:r>
      <w:r w:rsidR="00826FFC">
        <w:rPr>
          <w:rFonts w:ascii="Times New Roman" w:hAnsi="Times New Roman" w:cs="Times New Roman"/>
          <w:color w:val="000000"/>
          <w:sz w:val="28"/>
          <w:szCs w:val="28"/>
          <w:lang w:val="uk-UA"/>
        </w:rPr>
        <w:t xml:space="preserve">осіб, що обліковується </w:t>
      </w:r>
      <w:r w:rsidR="00F803A8" w:rsidRPr="00D300CD">
        <w:rPr>
          <w:rFonts w:ascii="Times New Roman" w:hAnsi="Times New Roman" w:cs="Times New Roman"/>
          <w:color w:val="000000"/>
          <w:sz w:val="28"/>
          <w:szCs w:val="28"/>
          <w:lang w:val="uk-UA"/>
        </w:rPr>
        <w:t>в районі.</w:t>
      </w:r>
      <w:r w:rsidR="00CF2C92">
        <w:rPr>
          <w:rFonts w:ascii="Times New Roman" w:hAnsi="Times New Roman" w:cs="Times New Roman"/>
          <w:color w:val="000000"/>
          <w:sz w:val="28"/>
          <w:szCs w:val="28"/>
          <w:lang w:val="uk-UA"/>
        </w:rPr>
        <w:t xml:space="preserve"> Робота по створенню громад продовжується. В</w:t>
      </w:r>
      <w:r w:rsidR="00206F27">
        <w:rPr>
          <w:rFonts w:ascii="Times New Roman" w:hAnsi="Times New Roman" w:cs="Times New Roman"/>
          <w:color w:val="000000"/>
          <w:sz w:val="28"/>
          <w:szCs w:val="28"/>
          <w:lang w:val="uk-UA"/>
        </w:rPr>
        <w:t xml:space="preserve"> районі працює  селищна та 4 сі</w:t>
      </w:r>
      <w:r w:rsidR="00CF2C92">
        <w:rPr>
          <w:rFonts w:ascii="Times New Roman" w:hAnsi="Times New Roman" w:cs="Times New Roman"/>
          <w:color w:val="000000"/>
          <w:sz w:val="28"/>
          <w:szCs w:val="28"/>
          <w:lang w:val="uk-UA"/>
        </w:rPr>
        <w:t>ль</w:t>
      </w:r>
      <w:r w:rsidR="00206F27">
        <w:rPr>
          <w:rFonts w:ascii="Times New Roman" w:hAnsi="Times New Roman" w:cs="Times New Roman"/>
          <w:color w:val="000000"/>
          <w:sz w:val="28"/>
          <w:szCs w:val="28"/>
          <w:lang w:val="uk-UA"/>
        </w:rPr>
        <w:t>сь</w:t>
      </w:r>
      <w:r w:rsidR="00CF2C92">
        <w:rPr>
          <w:rFonts w:ascii="Times New Roman" w:hAnsi="Times New Roman" w:cs="Times New Roman"/>
          <w:color w:val="000000"/>
          <w:sz w:val="28"/>
          <w:szCs w:val="28"/>
          <w:lang w:val="uk-UA"/>
        </w:rPr>
        <w:t xml:space="preserve">ких ради, які не </w:t>
      </w:r>
      <w:r w:rsidR="00206F27">
        <w:rPr>
          <w:rFonts w:ascii="Times New Roman" w:hAnsi="Times New Roman" w:cs="Times New Roman"/>
          <w:color w:val="000000"/>
          <w:sz w:val="28"/>
          <w:szCs w:val="28"/>
          <w:lang w:val="uk-UA"/>
        </w:rPr>
        <w:t xml:space="preserve">ввійшли до громад. </w:t>
      </w:r>
    </w:p>
    <w:p w:rsidR="000D3F1A" w:rsidRDefault="00B510DF" w:rsidP="00D300CD">
      <w:pPr>
        <w:pStyle w:val="a3"/>
        <w:shd w:val="clear" w:color="auto" w:fill="FFFFFF"/>
        <w:tabs>
          <w:tab w:val="left" w:pos="709"/>
        </w:tabs>
        <w:ind w:left="0" w:firstLine="85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Зі створенням громад спостерігається динаміка збільшення місцевих бюджетів. Так, якщо за 2014 рік загальні надходження зведеного бюджету склали </w:t>
      </w:r>
      <w:r w:rsidR="00F233BF">
        <w:rPr>
          <w:rFonts w:ascii="Times New Roman" w:hAnsi="Times New Roman" w:cs="Times New Roman"/>
          <w:color w:val="000000"/>
          <w:sz w:val="28"/>
          <w:szCs w:val="28"/>
          <w:lang w:val="uk-UA"/>
        </w:rPr>
        <w:t xml:space="preserve">109,2 млн. гривень, то в </w:t>
      </w:r>
      <w:r w:rsidR="00F27D68">
        <w:rPr>
          <w:rFonts w:ascii="Times New Roman" w:hAnsi="Times New Roman" w:cs="Times New Roman"/>
          <w:color w:val="000000"/>
          <w:sz w:val="28"/>
          <w:szCs w:val="28"/>
          <w:lang w:val="uk-UA"/>
        </w:rPr>
        <w:t>2</w:t>
      </w:r>
      <w:r w:rsidR="00F233BF">
        <w:rPr>
          <w:rFonts w:ascii="Times New Roman" w:hAnsi="Times New Roman" w:cs="Times New Roman"/>
          <w:color w:val="000000"/>
          <w:sz w:val="28"/>
          <w:szCs w:val="28"/>
          <w:lang w:val="uk-UA"/>
        </w:rPr>
        <w:t>018 році – 313,8 млн</w:t>
      </w:r>
      <w:r w:rsidR="00661D22">
        <w:rPr>
          <w:rFonts w:ascii="Times New Roman" w:hAnsi="Times New Roman" w:cs="Times New Roman"/>
          <w:color w:val="000000"/>
          <w:sz w:val="28"/>
          <w:szCs w:val="28"/>
          <w:lang w:val="uk-UA"/>
        </w:rPr>
        <w:t>. г</w:t>
      </w:r>
      <w:r w:rsidR="00F233BF">
        <w:rPr>
          <w:rFonts w:ascii="Times New Roman" w:hAnsi="Times New Roman" w:cs="Times New Roman"/>
          <w:color w:val="000000"/>
          <w:sz w:val="28"/>
          <w:szCs w:val="28"/>
          <w:lang w:val="uk-UA"/>
        </w:rPr>
        <w:t>ривень . В тому числі по Недригайлівській ОТГ доходи зросли в 9,4 рази, по Вільшанській – у 8,2 рази, по Коровинській ОТГ- 8,4 рази, по решті сільських бюджетах та районному бюджету – в 2,5 рази.</w:t>
      </w:r>
      <w:r>
        <w:rPr>
          <w:rFonts w:ascii="Times New Roman" w:hAnsi="Times New Roman" w:cs="Times New Roman"/>
          <w:color w:val="000000"/>
          <w:sz w:val="28"/>
          <w:szCs w:val="28"/>
          <w:lang w:val="uk-UA"/>
        </w:rPr>
        <w:t xml:space="preserve"> </w:t>
      </w:r>
    </w:p>
    <w:p w:rsidR="00B510DF" w:rsidRPr="000D3F1A" w:rsidRDefault="000D3F1A" w:rsidP="000D3F1A">
      <w:pPr>
        <w:pStyle w:val="a3"/>
        <w:shd w:val="clear" w:color="auto" w:fill="FFFFFF"/>
        <w:tabs>
          <w:tab w:val="left" w:pos="709"/>
        </w:tabs>
        <w:ind w:left="0" w:firstLine="851"/>
        <w:jc w:val="center"/>
        <w:rPr>
          <w:rFonts w:ascii="Times New Roman" w:hAnsi="Times New Roman" w:cs="Times New Roman"/>
          <w:b/>
          <w:color w:val="000000"/>
          <w:sz w:val="28"/>
          <w:szCs w:val="28"/>
          <w:lang w:val="uk-UA"/>
        </w:rPr>
      </w:pPr>
      <w:r w:rsidRPr="000D3F1A">
        <w:rPr>
          <w:rFonts w:ascii="Times New Roman" w:hAnsi="Times New Roman" w:cs="Times New Roman"/>
          <w:b/>
          <w:color w:val="000000"/>
          <w:sz w:val="28"/>
          <w:szCs w:val="28"/>
          <w:lang w:val="uk-UA"/>
        </w:rPr>
        <w:t>Недригайлівська ОТГ</w:t>
      </w:r>
    </w:p>
    <w:p w:rsidR="000C27E0" w:rsidRPr="00F27D68" w:rsidRDefault="000C27E0" w:rsidP="000C27E0">
      <w:pPr>
        <w:pStyle w:val="a3"/>
        <w:shd w:val="clear" w:color="auto" w:fill="FFFFFF"/>
        <w:tabs>
          <w:tab w:val="left" w:pos="709"/>
        </w:tabs>
        <w:ind w:left="0"/>
        <w:jc w:val="center"/>
        <w:rPr>
          <w:rFonts w:ascii="Times New Roman" w:hAnsi="Times New Roman" w:cs="Times New Roman"/>
          <w:b/>
          <w:color w:val="000000"/>
          <w:sz w:val="28"/>
          <w:szCs w:val="28"/>
          <w:lang w:val="uk-UA"/>
        </w:rPr>
      </w:pPr>
      <w:r w:rsidRPr="000C27E0">
        <w:rPr>
          <w:rFonts w:ascii="Times New Roman" w:hAnsi="Times New Roman" w:cs="Times New Roman"/>
          <w:b/>
          <w:noProof/>
          <w:color w:val="000000"/>
          <w:sz w:val="28"/>
          <w:szCs w:val="28"/>
        </w:rPr>
        <w:drawing>
          <wp:inline distT="0" distB="0" distL="0" distR="0">
            <wp:extent cx="5562600" cy="3409950"/>
            <wp:effectExtent l="19050" t="0" r="1905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15968" w:rsidRDefault="00A15968" w:rsidP="00F27D68">
      <w:pPr>
        <w:jc w:val="center"/>
        <w:rPr>
          <w:rFonts w:ascii="Times New Roman" w:hAnsi="Times New Roman" w:cs="Times New Roman"/>
          <w:b/>
          <w:sz w:val="28"/>
          <w:szCs w:val="28"/>
          <w:lang w:val="uk-UA"/>
        </w:rPr>
      </w:pPr>
    </w:p>
    <w:p w:rsidR="00A15968" w:rsidRDefault="00A15968"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9E3C3B" w:rsidRDefault="009E3C3B" w:rsidP="00F27D68">
      <w:pPr>
        <w:jc w:val="center"/>
        <w:rPr>
          <w:rFonts w:ascii="Times New Roman" w:hAnsi="Times New Roman" w:cs="Times New Roman"/>
          <w:b/>
          <w:sz w:val="28"/>
          <w:szCs w:val="28"/>
          <w:lang w:val="uk-UA"/>
        </w:rPr>
      </w:pPr>
    </w:p>
    <w:p w:rsidR="00F27D68" w:rsidRPr="00F27D68" w:rsidRDefault="00F27D68" w:rsidP="00F27D68">
      <w:pPr>
        <w:jc w:val="center"/>
        <w:rPr>
          <w:rFonts w:ascii="Times New Roman" w:hAnsi="Times New Roman" w:cs="Times New Roman"/>
          <w:b/>
          <w:sz w:val="28"/>
          <w:szCs w:val="28"/>
          <w:lang w:val="uk-UA"/>
        </w:rPr>
      </w:pPr>
      <w:r w:rsidRPr="00F27D68">
        <w:rPr>
          <w:rFonts w:ascii="Times New Roman" w:hAnsi="Times New Roman" w:cs="Times New Roman"/>
          <w:b/>
          <w:sz w:val="28"/>
          <w:szCs w:val="28"/>
          <w:lang w:val="uk-UA"/>
        </w:rPr>
        <w:t xml:space="preserve">Вільшанська </w:t>
      </w:r>
      <w:r w:rsidRPr="00F27D68">
        <w:rPr>
          <w:rFonts w:ascii="Times New Roman" w:hAnsi="Times New Roman" w:cs="Times New Roman"/>
          <w:b/>
          <w:sz w:val="28"/>
          <w:szCs w:val="28"/>
        </w:rPr>
        <w:t>ОТГ</w:t>
      </w:r>
    </w:p>
    <w:p w:rsidR="00F27D68" w:rsidRDefault="00F27D68" w:rsidP="00F27D68">
      <w:pPr>
        <w:jc w:val="center"/>
        <w:rPr>
          <w:rFonts w:ascii="Times New Roman" w:hAnsi="Times New Roman" w:cs="Times New Roman"/>
          <w:sz w:val="32"/>
          <w:szCs w:val="32"/>
          <w:lang w:val="uk-UA"/>
        </w:rPr>
      </w:pPr>
      <w:r w:rsidRPr="00D836A4">
        <w:rPr>
          <w:rFonts w:ascii="Times New Roman" w:hAnsi="Times New Roman" w:cs="Times New Roman"/>
          <w:noProof/>
          <w:sz w:val="32"/>
          <w:szCs w:val="32"/>
        </w:rPr>
        <w:drawing>
          <wp:inline distT="0" distB="0" distL="0" distR="0">
            <wp:extent cx="6152515" cy="4027170"/>
            <wp:effectExtent l="19050" t="0" r="1968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27D68" w:rsidRPr="00F27D68" w:rsidRDefault="00F27D68" w:rsidP="00AF4893">
      <w:pPr>
        <w:pStyle w:val="a3"/>
        <w:shd w:val="clear" w:color="auto" w:fill="FFFFFF"/>
        <w:tabs>
          <w:tab w:val="left" w:pos="709"/>
        </w:tabs>
        <w:ind w:left="0" w:firstLine="851"/>
        <w:jc w:val="center"/>
        <w:rPr>
          <w:rFonts w:ascii="Times New Roman" w:hAnsi="Times New Roman" w:cs="Times New Roman"/>
          <w:b/>
          <w:sz w:val="28"/>
          <w:szCs w:val="28"/>
          <w:lang w:val="uk-UA"/>
        </w:rPr>
      </w:pPr>
      <w:r w:rsidRPr="00F27D68">
        <w:rPr>
          <w:rFonts w:ascii="Times New Roman" w:hAnsi="Times New Roman" w:cs="Times New Roman"/>
          <w:b/>
          <w:sz w:val="28"/>
          <w:szCs w:val="28"/>
          <w:lang w:val="uk-UA"/>
        </w:rPr>
        <w:t xml:space="preserve">Коровинська </w:t>
      </w:r>
      <w:r w:rsidRPr="00F27D68">
        <w:rPr>
          <w:rFonts w:ascii="Times New Roman" w:hAnsi="Times New Roman" w:cs="Times New Roman"/>
          <w:b/>
          <w:sz w:val="28"/>
          <w:szCs w:val="28"/>
        </w:rPr>
        <w:t>ОТГ</w:t>
      </w:r>
    </w:p>
    <w:p w:rsidR="00F27D68" w:rsidRDefault="00F27D68" w:rsidP="00F27D68">
      <w:pPr>
        <w:jc w:val="center"/>
        <w:rPr>
          <w:rFonts w:ascii="Times New Roman" w:hAnsi="Times New Roman" w:cs="Times New Roman"/>
          <w:sz w:val="32"/>
          <w:szCs w:val="32"/>
          <w:lang w:val="uk-UA"/>
        </w:rPr>
      </w:pPr>
      <w:r w:rsidRPr="00D836A4">
        <w:rPr>
          <w:rFonts w:ascii="Times New Roman" w:hAnsi="Times New Roman" w:cs="Times New Roman"/>
          <w:noProof/>
          <w:sz w:val="32"/>
          <w:szCs w:val="32"/>
        </w:rPr>
        <w:drawing>
          <wp:inline distT="0" distB="0" distL="0" distR="0">
            <wp:extent cx="6152515" cy="4027170"/>
            <wp:effectExtent l="19050" t="0" r="19685" b="0"/>
            <wp:docPr id="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27D68" w:rsidRDefault="00F27D68" w:rsidP="00D300CD">
      <w:pPr>
        <w:pStyle w:val="a3"/>
        <w:shd w:val="clear" w:color="auto" w:fill="FFFFFF"/>
        <w:tabs>
          <w:tab w:val="left" w:pos="709"/>
        </w:tabs>
        <w:ind w:left="0" w:firstLine="851"/>
        <w:jc w:val="both"/>
        <w:rPr>
          <w:rFonts w:ascii="Times New Roman" w:hAnsi="Times New Roman" w:cs="Times New Roman"/>
          <w:color w:val="000000"/>
          <w:sz w:val="28"/>
          <w:szCs w:val="28"/>
          <w:lang w:val="uk-UA"/>
        </w:rPr>
      </w:pPr>
    </w:p>
    <w:p w:rsidR="00F27D68" w:rsidRDefault="00F27D68" w:rsidP="00D300CD">
      <w:pPr>
        <w:pStyle w:val="a3"/>
        <w:shd w:val="clear" w:color="auto" w:fill="FFFFFF"/>
        <w:tabs>
          <w:tab w:val="left" w:pos="709"/>
        </w:tabs>
        <w:ind w:left="0" w:firstLine="851"/>
        <w:jc w:val="both"/>
        <w:rPr>
          <w:rFonts w:ascii="Times New Roman" w:hAnsi="Times New Roman" w:cs="Times New Roman"/>
          <w:color w:val="000000"/>
          <w:sz w:val="28"/>
          <w:szCs w:val="28"/>
          <w:lang w:val="uk-UA"/>
        </w:rPr>
      </w:pPr>
    </w:p>
    <w:p w:rsidR="00A160ED" w:rsidRDefault="00A160ED" w:rsidP="00F27D68">
      <w:pPr>
        <w:jc w:val="center"/>
        <w:rPr>
          <w:rFonts w:ascii="Times New Roman" w:hAnsi="Times New Roman" w:cs="Times New Roman"/>
          <w:b/>
          <w:sz w:val="32"/>
          <w:szCs w:val="32"/>
          <w:lang w:val="uk-UA"/>
        </w:rPr>
      </w:pPr>
    </w:p>
    <w:p w:rsidR="00A160ED" w:rsidRDefault="00A160ED" w:rsidP="00F27D68">
      <w:pPr>
        <w:jc w:val="center"/>
        <w:rPr>
          <w:rFonts w:ascii="Times New Roman" w:hAnsi="Times New Roman" w:cs="Times New Roman"/>
          <w:b/>
          <w:sz w:val="32"/>
          <w:szCs w:val="32"/>
          <w:lang w:val="uk-UA"/>
        </w:rPr>
      </w:pPr>
    </w:p>
    <w:p w:rsidR="00F27D68" w:rsidRPr="00B53A0C" w:rsidRDefault="00F27D68" w:rsidP="00F27D68">
      <w:pPr>
        <w:jc w:val="center"/>
        <w:rPr>
          <w:rFonts w:ascii="Times New Roman" w:hAnsi="Times New Roman" w:cs="Times New Roman"/>
          <w:b/>
          <w:sz w:val="32"/>
          <w:szCs w:val="32"/>
          <w:lang w:val="uk-UA"/>
        </w:rPr>
      </w:pPr>
      <w:r w:rsidRPr="00B53A0C">
        <w:rPr>
          <w:rFonts w:ascii="Times New Roman" w:hAnsi="Times New Roman" w:cs="Times New Roman"/>
          <w:b/>
          <w:sz w:val="32"/>
          <w:szCs w:val="32"/>
          <w:lang w:val="uk-UA"/>
        </w:rPr>
        <w:t xml:space="preserve">5 сільських рад та районний бюджет </w:t>
      </w:r>
    </w:p>
    <w:p w:rsidR="000C27E0" w:rsidRDefault="000C27E0" w:rsidP="00F27D68">
      <w:pPr>
        <w:jc w:val="center"/>
        <w:rPr>
          <w:rFonts w:ascii="Times New Roman" w:hAnsi="Times New Roman" w:cs="Times New Roman"/>
          <w:sz w:val="32"/>
          <w:szCs w:val="32"/>
          <w:lang w:val="uk-UA"/>
        </w:rPr>
      </w:pPr>
      <w:r w:rsidRPr="000C27E0">
        <w:rPr>
          <w:rFonts w:ascii="Times New Roman" w:hAnsi="Times New Roman" w:cs="Times New Roman"/>
          <w:noProof/>
          <w:sz w:val="32"/>
          <w:szCs w:val="32"/>
        </w:rPr>
        <w:drawing>
          <wp:inline distT="0" distB="0" distL="0" distR="0">
            <wp:extent cx="6416675" cy="3581400"/>
            <wp:effectExtent l="19050" t="0" r="22225" b="0"/>
            <wp:docPr id="1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A068F" w:rsidRDefault="004A068F" w:rsidP="004A068F">
      <w:pPr>
        <w:spacing w:after="0" w:line="240" w:lineRule="auto"/>
        <w:ind w:firstLine="851"/>
        <w:jc w:val="both"/>
        <w:rPr>
          <w:rFonts w:ascii="Times New Roman" w:hAnsi="Times New Roman" w:cs="Times New Roman"/>
          <w:sz w:val="28"/>
          <w:szCs w:val="28"/>
          <w:lang w:val="uk-UA"/>
        </w:rPr>
      </w:pPr>
      <w:r w:rsidRPr="00D300CD">
        <w:rPr>
          <w:rFonts w:ascii="Times New Roman" w:eastAsia="Times New Roman" w:hAnsi="Times New Roman" w:cs="Times New Roman"/>
          <w:sz w:val="28"/>
          <w:szCs w:val="28"/>
          <w:lang w:val="uk-UA"/>
        </w:rPr>
        <w:t>З метою забезпечення скорочення споживання природного газу починаючи з 2016 року район розпочав участь в проектах  з термомодернізації (заміни вікон, утеплення фасадів, покрівель) закладів бюджетної сфери району</w:t>
      </w:r>
      <w:r w:rsidRPr="00D300CD">
        <w:rPr>
          <w:rFonts w:ascii="Times New Roman" w:hAnsi="Times New Roman" w:cs="Times New Roman"/>
          <w:sz w:val="28"/>
          <w:szCs w:val="28"/>
          <w:lang w:val="uk-UA"/>
        </w:rPr>
        <w:t xml:space="preserve"> на умовах спів фінансування з державного бюджету (державний фонд регіонального розвитку) та </w:t>
      </w:r>
      <w:r>
        <w:rPr>
          <w:rFonts w:ascii="Times New Roman" w:hAnsi="Times New Roman" w:cs="Times New Roman"/>
          <w:sz w:val="28"/>
          <w:szCs w:val="28"/>
          <w:lang w:val="uk-UA"/>
        </w:rPr>
        <w:t xml:space="preserve">місцевих бюджетів. В 2016 році </w:t>
      </w:r>
      <w:r w:rsidRPr="00D300CD">
        <w:rPr>
          <w:rFonts w:ascii="Times New Roman" w:hAnsi="Times New Roman" w:cs="Times New Roman"/>
          <w:sz w:val="28"/>
          <w:szCs w:val="28"/>
          <w:lang w:val="uk-UA"/>
        </w:rPr>
        <w:t xml:space="preserve"> реаліз</w:t>
      </w:r>
      <w:r>
        <w:rPr>
          <w:rFonts w:ascii="Times New Roman" w:hAnsi="Times New Roman" w:cs="Times New Roman"/>
          <w:sz w:val="28"/>
          <w:szCs w:val="28"/>
          <w:lang w:val="uk-UA"/>
        </w:rPr>
        <w:t>овано</w:t>
      </w:r>
      <w:r w:rsidRPr="00D300C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перший </w:t>
      </w:r>
      <w:r w:rsidRPr="00D300CD">
        <w:rPr>
          <w:rFonts w:ascii="Times New Roman" w:hAnsi="Times New Roman" w:cs="Times New Roman"/>
          <w:sz w:val="28"/>
          <w:szCs w:val="28"/>
          <w:lang w:val="uk-UA"/>
        </w:rPr>
        <w:t xml:space="preserve"> проект </w:t>
      </w:r>
      <w:r w:rsidRPr="00D300CD">
        <w:rPr>
          <w:rFonts w:ascii="Times New Roman" w:eastAsia="Times New Roman" w:hAnsi="Times New Roman" w:cs="Times New Roman"/>
          <w:sz w:val="28"/>
          <w:szCs w:val="28"/>
          <w:lang w:val="uk-UA"/>
        </w:rPr>
        <w:t xml:space="preserve"> </w:t>
      </w:r>
      <w:r w:rsidRPr="00D300CD">
        <w:rPr>
          <w:rFonts w:ascii="Times New Roman" w:hAnsi="Times New Roman" w:cs="Times New Roman"/>
          <w:sz w:val="28"/>
          <w:szCs w:val="28"/>
          <w:lang w:val="uk-UA"/>
        </w:rPr>
        <w:t xml:space="preserve">по </w:t>
      </w:r>
      <w:r>
        <w:rPr>
          <w:rFonts w:ascii="Times New Roman" w:hAnsi="Times New Roman" w:cs="Times New Roman"/>
          <w:sz w:val="28"/>
          <w:szCs w:val="28"/>
          <w:lang w:val="uk-UA"/>
        </w:rPr>
        <w:t xml:space="preserve">утепленню </w:t>
      </w:r>
      <w:r w:rsidRPr="00D300CD">
        <w:rPr>
          <w:rFonts w:ascii="Times New Roman" w:eastAsia="Times New Roman" w:hAnsi="Times New Roman" w:cs="Times New Roman"/>
          <w:sz w:val="28"/>
          <w:szCs w:val="28"/>
          <w:lang w:val="uk-UA"/>
        </w:rPr>
        <w:t>Ко</w:t>
      </w:r>
      <w:r w:rsidRPr="00D300CD">
        <w:rPr>
          <w:rFonts w:ascii="Times New Roman" w:hAnsi="Times New Roman" w:cs="Times New Roman"/>
          <w:sz w:val="28"/>
          <w:szCs w:val="28"/>
          <w:lang w:val="uk-UA"/>
        </w:rPr>
        <w:t>ровинсько</w:t>
      </w:r>
      <w:r>
        <w:rPr>
          <w:rFonts w:ascii="Times New Roman" w:hAnsi="Times New Roman" w:cs="Times New Roman"/>
          <w:sz w:val="28"/>
          <w:szCs w:val="28"/>
          <w:lang w:val="uk-UA"/>
        </w:rPr>
        <w:t>го</w:t>
      </w:r>
      <w:r w:rsidRPr="00D300CD">
        <w:rPr>
          <w:rFonts w:ascii="Times New Roman" w:hAnsi="Times New Roman" w:cs="Times New Roman"/>
          <w:sz w:val="28"/>
          <w:szCs w:val="28"/>
          <w:lang w:val="uk-UA"/>
        </w:rPr>
        <w:t xml:space="preserve"> дошкільно</w:t>
      </w:r>
      <w:r>
        <w:rPr>
          <w:rFonts w:ascii="Times New Roman" w:hAnsi="Times New Roman" w:cs="Times New Roman"/>
          <w:sz w:val="28"/>
          <w:szCs w:val="28"/>
          <w:lang w:val="uk-UA"/>
        </w:rPr>
        <w:t>го</w:t>
      </w:r>
      <w:r w:rsidRPr="00D300CD">
        <w:rPr>
          <w:rFonts w:ascii="Times New Roman" w:eastAsia="Times New Roman" w:hAnsi="Times New Roman" w:cs="Times New Roman"/>
          <w:sz w:val="28"/>
          <w:szCs w:val="28"/>
          <w:lang w:val="uk-UA"/>
        </w:rPr>
        <w:t xml:space="preserve"> навчальн</w:t>
      </w:r>
      <w:r w:rsidRPr="00D300CD">
        <w:rPr>
          <w:rFonts w:ascii="Times New Roman" w:hAnsi="Times New Roman" w:cs="Times New Roman"/>
          <w:sz w:val="28"/>
          <w:szCs w:val="28"/>
          <w:lang w:val="uk-UA"/>
        </w:rPr>
        <w:t>о</w:t>
      </w:r>
      <w:r>
        <w:rPr>
          <w:rFonts w:ascii="Times New Roman" w:hAnsi="Times New Roman" w:cs="Times New Roman"/>
          <w:sz w:val="28"/>
          <w:szCs w:val="28"/>
          <w:lang w:val="uk-UA"/>
        </w:rPr>
        <w:t>го</w:t>
      </w:r>
      <w:r w:rsidRPr="00D300CD">
        <w:rPr>
          <w:rFonts w:ascii="Times New Roman" w:eastAsia="Times New Roman" w:hAnsi="Times New Roman" w:cs="Times New Roman"/>
          <w:sz w:val="28"/>
          <w:szCs w:val="28"/>
          <w:lang w:val="uk-UA"/>
        </w:rPr>
        <w:t xml:space="preserve"> заклад</w:t>
      </w:r>
      <w:r w:rsidRPr="00D300CD">
        <w:rPr>
          <w:rFonts w:ascii="Times New Roman" w:hAnsi="Times New Roman" w:cs="Times New Roman"/>
          <w:sz w:val="28"/>
          <w:szCs w:val="28"/>
          <w:lang w:val="uk-UA"/>
        </w:rPr>
        <w:t>у</w:t>
      </w:r>
      <w:r w:rsidRPr="00D300CD">
        <w:rPr>
          <w:rFonts w:ascii="Times New Roman" w:eastAsia="Times New Roman" w:hAnsi="Times New Roman" w:cs="Times New Roman"/>
          <w:sz w:val="28"/>
          <w:szCs w:val="28"/>
          <w:lang w:val="uk-UA"/>
        </w:rPr>
        <w:t xml:space="preserve">  «Сонечко»,  вартість робіт – 810,0 тис. грн.</w:t>
      </w:r>
      <w:r>
        <w:rPr>
          <w:rFonts w:ascii="Times New Roman" w:eastAsia="Times New Roman" w:hAnsi="Times New Roman" w:cs="Times New Roman"/>
          <w:sz w:val="28"/>
          <w:szCs w:val="28"/>
          <w:lang w:val="uk-UA"/>
        </w:rPr>
        <w:t>, який   пройшов</w:t>
      </w:r>
      <w:r w:rsidRPr="00D300CD">
        <w:rPr>
          <w:rFonts w:ascii="Times New Roman" w:eastAsia="Times New Roman" w:hAnsi="Times New Roman" w:cs="Times New Roman"/>
          <w:sz w:val="28"/>
          <w:szCs w:val="28"/>
          <w:lang w:val="uk-UA"/>
        </w:rPr>
        <w:t xml:space="preserve"> </w:t>
      </w:r>
      <w:r w:rsidRPr="00D300CD">
        <w:rPr>
          <w:rFonts w:ascii="Times New Roman" w:eastAsia="Times New Roman" w:hAnsi="Times New Roman" w:cs="Times New Roman"/>
          <w:sz w:val="28"/>
          <w:szCs w:val="28"/>
        </w:rPr>
        <w:t>конкурсн</w:t>
      </w:r>
      <w:r w:rsidRPr="00D300CD">
        <w:rPr>
          <w:rFonts w:ascii="Times New Roman" w:eastAsia="Times New Roman" w:hAnsi="Times New Roman" w:cs="Times New Roman"/>
          <w:sz w:val="28"/>
          <w:szCs w:val="28"/>
          <w:lang w:val="uk-UA"/>
        </w:rPr>
        <w:t>ий</w:t>
      </w:r>
      <w:r w:rsidRPr="00D300CD">
        <w:rPr>
          <w:rFonts w:ascii="Times New Roman" w:eastAsia="Times New Roman" w:hAnsi="Times New Roman" w:cs="Times New Roman"/>
          <w:sz w:val="28"/>
          <w:szCs w:val="28"/>
        </w:rPr>
        <w:t xml:space="preserve"> відб</w:t>
      </w:r>
      <w:r w:rsidRPr="00D300CD">
        <w:rPr>
          <w:rFonts w:ascii="Times New Roman" w:eastAsia="Times New Roman" w:hAnsi="Times New Roman" w:cs="Times New Roman"/>
          <w:sz w:val="28"/>
          <w:szCs w:val="28"/>
          <w:lang w:val="uk-UA"/>
        </w:rPr>
        <w:t>і</w:t>
      </w:r>
      <w:r w:rsidRPr="00D300CD">
        <w:rPr>
          <w:rFonts w:ascii="Times New Roman" w:eastAsia="Times New Roman" w:hAnsi="Times New Roman" w:cs="Times New Roman"/>
          <w:sz w:val="28"/>
          <w:szCs w:val="28"/>
        </w:rPr>
        <w:t>р інвестиційних програм (проектів), що можуть реалізуватися за рахунок коштів державного фонду регіонального розвитку</w:t>
      </w:r>
      <w:r w:rsidRPr="00D300CD">
        <w:rPr>
          <w:rFonts w:ascii="Times New Roman" w:hAnsi="Times New Roman" w:cs="Times New Roman"/>
          <w:sz w:val="28"/>
          <w:szCs w:val="28"/>
          <w:lang w:val="uk-UA"/>
        </w:rPr>
        <w:t>. В 2017</w:t>
      </w:r>
      <w:r>
        <w:rPr>
          <w:rFonts w:ascii="Times New Roman" w:hAnsi="Times New Roman" w:cs="Times New Roman"/>
          <w:sz w:val="28"/>
          <w:szCs w:val="28"/>
          <w:lang w:val="uk-UA"/>
        </w:rPr>
        <w:t>-2018 роках</w:t>
      </w:r>
      <w:r w:rsidRPr="00D300CD">
        <w:rPr>
          <w:rFonts w:ascii="Times New Roman" w:hAnsi="Times New Roman" w:cs="Times New Roman"/>
          <w:sz w:val="28"/>
          <w:szCs w:val="28"/>
          <w:lang w:val="uk-UA"/>
        </w:rPr>
        <w:t xml:space="preserve"> робота продовжилася. Район приймав участь у проектах, які фінансувалися з державного фонду регіонального розвитку. Завдяки участі</w:t>
      </w:r>
      <w:r>
        <w:rPr>
          <w:rFonts w:ascii="Times New Roman" w:hAnsi="Times New Roman" w:cs="Times New Roman"/>
          <w:sz w:val="28"/>
          <w:szCs w:val="28"/>
          <w:lang w:val="uk-UA"/>
        </w:rPr>
        <w:t xml:space="preserve"> в 2017 році </w:t>
      </w:r>
      <w:r w:rsidRPr="00D300CD">
        <w:rPr>
          <w:rFonts w:ascii="Times New Roman" w:hAnsi="Times New Roman" w:cs="Times New Roman"/>
          <w:sz w:val="28"/>
          <w:szCs w:val="28"/>
          <w:lang w:val="uk-UA"/>
        </w:rPr>
        <w:t xml:space="preserve"> вдалося залучити кошти в сумі 11,5 млн. гривень для утеплення трьох опорних шкіл району – Недригайлівської, Коровинської та Вільшанської ЗОШ І-ІІІ ст. Роботи продовжуються і в 2018 році.</w:t>
      </w:r>
      <w:r>
        <w:rPr>
          <w:rFonts w:ascii="Times New Roman" w:hAnsi="Times New Roman" w:cs="Times New Roman"/>
          <w:sz w:val="28"/>
          <w:szCs w:val="28"/>
          <w:lang w:val="uk-UA"/>
        </w:rPr>
        <w:t xml:space="preserve"> Для реконструкції Недригайлівської школи загальна вартість проекту склала 12,7 млн. гривень, в тому числі кошти ДФРР – 5,0 млн. гривень, Коровинської – 960 тис. гривень</w:t>
      </w:r>
      <w:r w:rsidRPr="00965EAF">
        <w:rPr>
          <w:rFonts w:ascii="Times New Roman" w:hAnsi="Times New Roman" w:cs="Times New Roman"/>
          <w:sz w:val="28"/>
          <w:szCs w:val="28"/>
          <w:lang w:val="uk-UA"/>
        </w:rPr>
        <w:t>, Вільшанської – 2571,1 тис</w:t>
      </w:r>
      <w:r>
        <w:rPr>
          <w:rFonts w:ascii="Times New Roman" w:hAnsi="Times New Roman" w:cs="Times New Roman"/>
          <w:sz w:val="28"/>
          <w:szCs w:val="28"/>
          <w:lang w:val="uk-UA"/>
        </w:rPr>
        <w:t>.</w:t>
      </w:r>
      <w:r w:rsidRPr="00965EAF">
        <w:rPr>
          <w:rFonts w:ascii="Times New Roman" w:hAnsi="Times New Roman" w:cs="Times New Roman"/>
          <w:sz w:val="28"/>
          <w:szCs w:val="28"/>
          <w:lang w:val="uk-UA"/>
        </w:rPr>
        <w:t xml:space="preserve"> грн. </w:t>
      </w:r>
    </w:p>
    <w:p w:rsidR="00A5786E" w:rsidRPr="00DA1F19" w:rsidRDefault="00A5786E" w:rsidP="00A5786E">
      <w:pPr>
        <w:pStyle w:val="21"/>
        <w:spacing w:line="240" w:lineRule="auto"/>
        <w:ind w:firstLine="851"/>
        <w:rPr>
          <w:b w:val="0"/>
          <w:sz w:val="28"/>
          <w:szCs w:val="28"/>
          <w:lang w:val="uk-UA"/>
        </w:rPr>
      </w:pPr>
      <w:r w:rsidRPr="00DA1F19">
        <w:rPr>
          <w:b w:val="0"/>
          <w:sz w:val="28"/>
          <w:szCs w:val="28"/>
          <w:lang w:val="uk-UA"/>
        </w:rPr>
        <w:t xml:space="preserve">Окремо слід відмітити, що завдяки методиці співфінасування вдалося розпочати роботу в районі по проведенню капітального ремонту доріг. </w:t>
      </w:r>
      <w:r>
        <w:rPr>
          <w:b w:val="0"/>
          <w:sz w:val="28"/>
          <w:szCs w:val="28"/>
          <w:lang w:val="uk-UA"/>
        </w:rPr>
        <w:t xml:space="preserve">Протягом останніх 15 років капітальний ремонт дорожнього покриття доріг району не проводився. </w:t>
      </w:r>
      <w:r w:rsidRPr="00DA1F19">
        <w:rPr>
          <w:b w:val="0"/>
          <w:sz w:val="28"/>
          <w:szCs w:val="28"/>
          <w:lang w:val="uk-UA"/>
        </w:rPr>
        <w:t xml:space="preserve">Так, Недригайлівською селищною ОТГ в 2017 році  розпочато реалізацію   проекту «Капітальний ремонт дороги по вул. Вишнева в смт. Недригайлів Сумської області»  загальною вартістю 2403,67 тис. </w:t>
      </w:r>
      <w:r w:rsidRPr="00DA1F19">
        <w:rPr>
          <w:b w:val="0"/>
          <w:sz w:val="28"/>
          <w:szCs w:val="28"/>
          <w:lang w:val="uk-UA"/>
        </w:rPr>
        <w:lastRenderedPageBreak/>
        <w:t>гривень. Також Недригайлівською селищною ОТГ проведено капітальний ремонт дороги по вулиці Шевченка в с. Іваниця Недригайлівського району Сумської області – на суму 321,9 тис. гривень. Поряд з цим, виділялися кошти з районного та місцевих бюджетів для поліпшення якості дорожнього покриття.</w:t>
      </w:r>
    </w:p>
    <w:tbl>
      <w:tblPr>
        <w:tblW w:w="14404" w:type="dxa"/>
        <w:tblInd w:w="-12" w:type="dxa"/>
        <w:tblLook w:val="0000"/>
      </w:tblPr>
      <w:tblGrid>
        <w:gridCol w:w="9618"/>
        <w:gridCol w:w="4786"/>
      </w:tblGrid>
      <w:tr w:rsidR="00A5786E" w:rsidRPr="00DA1F19" w:rsidTr="0049437C">
        <w:trPr>
          <w:tblHeader/>
        </w:trPr>
        <w:tc>
          <w:tcPr>
            <w:tcW w:w="9618" w:type="dxa"/>
          </w:tcPr>
          <w:p w:rsidR="00A5786E" w:rsidRDefault="00A5786E" w:rsidP="0049437C">
            <w:pPr>
              <w:pStyle w:val="a3"/>
              <w:ind w:left="0" w:firstLine="851"/>
              <w:jc w:val="both"/>
              <w:rPr>
                <w:rFonts w:ascii="Times New Roman" w:hAnsi="Times New Roman" w:cs="Times New Roman"/>
                <w:sz w:val="28"/>
                <w:szCs w:val="28"/>
                <w:lang w:val="uk-UA"/>
              </w:rPr>
            </w:pPr>
            <w:r w:rsidRPr="00DA1F19">
              <w:rPr>
                <w:rFonts w:ascii="Times New Roman" w:hAnsi="Times New Roman" w:cs="Times New Roman"/>
                <w:sz w:val="28"/>
                <w:szCs w:val="28"/>
              </w:rPr>
              <w:t>В рамках виконання Програми будівництва, реконструкції, ремонту та утримання місцевих доріг районного значення Недригайлівського району на 2017-2018 роки</w:t>
            </w:r>
            <w:r w:rsidRPr="00DA1F19">
              <w:rPr>
                <w:rFonts w:ascii="Times New Roman" w:hAnsi="Times New Roman" w:cs="Times New Roman"/>
                <w:sz w:val="28"/>
                <w:szCs w:val="28"/>
                <w:lang w:val="uk-UA"/>
              </w:rPr>
              <w:t>, яка затверджена 18 сесією Недригайлівської районної ради від 30.05.2017,  в 2017 році вдалося виконати поточний (аварійно-ямковий) ремонт дорожнього покриття ділянок доріг  с. Коровинці -  с. Юхти, Лебедин-Курган-Василівка-Козельне,  Коровинці – с. Дігтярівка,  Штепівка–Катеринівка-Михайлівська Цілина – Тимченки-Кушніри та по с. Козельне загальною протяжністю 28,7 км вартістю 2,1 млн. гривень.  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дорожніх робіт в сумі 1,1 млн. гривень, тоді як в 2016 році таких коштів виділено в сумі 99,4 тис. гривень, а ще в попередні роки 30-40 тис. гривень.</w:t>
            </w:r>
          </w:p>
          <w:p w:rsidR="00A5786E" w:rsidRPr="00DA1F19" w:rsidRDefault="00A5786E" w:rsidP="0049437C">
            <w:pPr>
              <w:spacing w:after="0" w:line="240" w:lineRule="auto"/>
              <w:ind w:firstLine="851"/>
              <w:jc w:val="both"/>
              <w:rPr>
                <w:rFonts w:ascii="Times New Roman" w:hAnsi="Times New Roman" w:cs="Times New Roman"/>
                <w:sz w:val="28"/>
                <w:szCs w:val="28"/>
                <w:lang w:val="uk-UA"/>
              </w:rPr>
            </w:pPr>
            <w:r w:rsidRPr="00DA1F19">
              <w:rPr>
                <w:rFonts w:ascii="Times New Roman" w:hAnsi="Times New Roman" w:cs="Times New Roman"/>
                <w:sz w:val="28"/>
                <w:szCs w:val="28"/>
                <w:lang w:val="uk-UA"/>
              </w:rPr>
              <w:t xml:space="preserve">В 2018 році дана робота продовжувалася. По Недригайлівській селищній ОТГ проводився ремонт автодоріг Київ-Суми-Юнаківка в межах селища, Зелене – Вільшана, Біжівка-Маршали, Недригайлів-Козельне,   а також місцевих вуличних доріг та ремонт дорожнього покриття мосту через річку Сула  на загальну суму близько 4700 тис. гривень.   </w:t>
            </w:r>
          </w:p>
          <w:p w:rsidR="00A5786E" w:rsidRPr="00DA1F19" w:rsidRDefault="00A5786E" w:rsidP="0049437C">
            <w:pPr>
              <w:spacing w:after="0" w:line="240" w:lineRule="auto"/>
              <w:ind w:firstLine="851"/>
              <w:jc w:val="both"/>
              <w:rPr>
                <w:rFonts w:ascii="Times New Roman" w:hAnsi="Times New Roman" w:cs="Times New Roman"/>
                <w:sz w:val="28"/>
                <w:szCs w:val="28"/>
                <w:lang w:val="uk-UA"/>
              </w:rPr>
            </w:pPr>
            <w:r w:rsidRPr="00DA1F19">
              <w:rPr>
                <w:rFonts w:ascii="Times New Roman" w:hAnsi="Times New Roman" w:cs="Times New Roman"/>
                <w:sz w:val="28"/>
                <w:szCs w:val="28"/>
                <w:lang w:val="uk-UA"/>
              </w:rPr>
              <w:t xml:space="preserve"> По Вільшанській сільській ОТГ виконані роботи по поточному ремонту автодоріг Зелене-Вільшана, Вільшана–Великі Будки, Вільшана-Білоярське та дорожнього покриття вуличних доріг сіл Вільшана та Комишанка на загальну суму 2770,4 тис гривень.</w:t>
            </w:r>
          </w:p>
          <w:p w:rsidR="00A5786E" w:rsidRPr="00DA1F19" w:rsidRDefault="00A5786E" w:rsidP="0049437C">
            <w:pPr>
              <w:pStyle w:val="21"/>
              <w:spacing w:line="240" w:lineRule="auto"/>
              <w:ind w:firstLine="851"/>
              <w:rPr>
                <w:b w:val="0"/>
                <w:i/>
                <w:iCs/>
                <w:sz w:val="28"/>
                <w:szCs w:val="28"/>
                <w:lang w:val="uk-UA"/>
              </w:rPr>
            </w:pPr>
            <w:r w:rsidRPr="00DA1F19">
              <w:rPr>
                <w:b w:val="0"/>
                <w:sz w:val="28"/>
                <w:szCs w:val="28"/>
                <w:lang w:val="uk-UA"/>
              </w:rPr>
              <w:t xml:space="preserve"> </w:t>
            </w:r>
            <w:r w:rsidRPr="00DA1F19">
              <w:rPr>
                <w:b w:val="0"/>
                <w:bCs/>
                <w:sz w:val="28"/>
                <w:szCs w:val="28"/>
                <w:lang w:val="uk-UA"/>
              </w:rPr>
              <w:t>По Коровинській громаді в 2016 році на поліпшення дорожнього покриття вуличних доріг с. Коровинці профінансовано 501,3 тис. гривень коштів сільського бюджету, в 2017 – 660, 0 тис гривень, в 2017 розпочато капітальний ремонт автодороги Томашівка-Коровинці-Рубанка, відремонтовано більше 6 км автодороги на 980 тис. гривень та в 2018 році - 18,8 млн. гривень як до села Рубанка так і до села Томашівка.</w:t>
            </w:r>
          </w:p>
        </w:tc>
        <w:tc>
          <w:tcPr>
            <w:tcW w:w="4786" w:type="dxa"/>
          </w:tcPr>
          <w:p w:rsidR="00A5786E" w:rsidRPr="00DA1F19" w:rsidRDefault="00A5786E" w:rsidP="0049437C">
            <w:pPr>
              <w:spacing w:after="0" w:line="240" w:lineRule="auto"/>
              <w:ind w:firstLine="851"/>
              <w:jc w:val="both"/>
              <w:rPr>
                <w:rFonts w:ascii="Times New Roman" w:hAnsi="Times New Roman" w:cs="Times New Roman"/>
                <w:i/>
                <w:iCs/>
                <w:sz w:val="28"/>
                <w:szCs w:val="28"/>
                <w:lang w:val="uk-UA"/>
              </w:rPr>
            </w:pPr>
          </w:p>
        </w:tc>
      </w:tr>
    </w:tbl>
    <w:p w:rsidR="00A5786E" w:rsidRDefault="00A5786E" w:rsidP="00A5786E">
      <w:pPr>
        <w:pStyle w:val="21"/>
        <w:spacing w:line="240" w:lineRule="auto"/>
        <w:rPr>
          <w:b w:val="0"/>
          <w:sz w:val="28"/>
          <w:szCs w:val="28"/>
          <w:lang w:val="uk-UA"/>
        </w:rPr>
      </w:pPr>
      <w:r w:rsidRPr="00DA1F19">
        <w:rPr>
          <w:b w:val="0"/>
          <w:sz w:val="28"/>
          <w:szCs w:val="28"/>
          <w:lang w:val="uk-UA"/>
        </w:rPr>
        <w:t xml:space="preserve">          Курманівською сільською радою в 2017 році спільними коштами ради та Служби автомобільних доріг в сумі 400 тис. гривень доріг Курмани-Березняки та Кулішівка-Костянтинів-Курмани, а також по с. Березняки на 400 тис гривень.  В 2016 році завершене будівництво мостового переходу через р. Сула на автомобільній дорозі С191020 Кулішівка-Константинів-Курмани за рахунок коштів різних джерел в сумі 3 175,0 тис. гривень. Засульською сільською радою проведено поточний ремонт дорожнього покриття протяжністю 800  м на суму близько 200 тис гривень. По Тернівській селищній раді в межах села проведено поточний ремонт автодороги Батурин-Конотоп-Суми вартістю 450 тис гривень,  по с. Сакуниха</w:t>
      </w:r>
      <w:r>
        <w:rPr>
          <w:b w:val="0"/>
          <w:sz w:val="28"/>
          <w:szCs w:val="28"/>
          <w:lang w:val="uk-UA"/>
        </w:rPr>
        <w:t xml:space="preserve">- </w:t>
      </w:r>
      <w:r w:rsidRPr="00DA1F19">
        <w:rPr>
          <w:b w:val="0"/>
          <w:sz w:val="28"/>
          <w:szCs w:val="28"/>
          <w:lang w:val="uk-UA"/>
        </w:rPr>
        <w:t>на автодорозі Білопілля-Терни-Недригайлів-Липова Долина - Гадяч  - 50.0 тис. гривень</w:t>
      </w:r>
      <w:r>
        <w:rPr>
          <w:b w:val="0"/>
          <w:sz w:val="28"/>
          <w:szCs w:val="28"/>
          <w:lang w:val="uk-UA"/>
        </w:rPr>
        <w:t>.</w:t>
      </w:r>
    </w:p>
    <w:p w:rsidR="00A5786E" w:rsidRDefault="00A5786E" w:rsidP="00A5786E">
      <w:pPr>
        <w:pStyle w:val="a3"/>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Філією «Недригайлівський райавтодор» ДП «Сумський облавтодор» станом на 01.09.2018 на поточний ремонт та експлуатаційне утримання </w:t>
      </w:r>
      <w:r>
        <w:rPr>
          <w:rFonts w:ascii="Times New Roman" w:hAnsi="Times New Roman" w:cs="Times New Roman"/>
          <w:sz w:val="28"/>
          <w:szCs w:val="28"/>
          <w:lang w:val="uk-UA"/>
        </w:rPr>
        <w:lastRenderedPageBreak/>
        <w:t xml:space="preserve">автомобільних доріг району використано 8190,6 тис гривень, а також 386,6 тис . гривень коштів сільських і селищних рад. </w:t>
      </w:r>
    </w:p>
    <w:p w:rsidR="00925477" w:rsidRDefault="00925477" w:rsidP="00925477">
      <w:pPr>
        <w:pStyle w:val="21"/>
        <w:tabs>
          <w:tab w:val="num" w:pos="0"/>
        </w:tabs>
        <w:spacing w:line="240" w:lineRule="auto"/>
        <w:ind w:firstLine="851"/>
        <w:rPr>
          <w:b w:val="0"/>
          <w:sz w:val="28"/>
          <w:szCs w:val="28"/>
          <w:lang w:val="uk-UA"/>
        </w:rPr>
      </w:pPr>
      <w:r>
        <w:rPr>
          <w:b w:val="0"/>
          <w:sz w:val="28"/>
          <w:szCs w:val="28"/>
          <w:lang w:val="uk-UA"/>
        </w:rPr>
        <w:t>Протягом 2014</w:t>
      </w:r>
      <w:r w:rsidRPr="00DA1F19">
        <w:rPr>
          <w:b w:val="0"/>
          <w:sz w:val="28"/>
          <w:szCs w:val="28"/>
          <w:lang w:val="uk-UA"/>
        </w:rPr>
        <w:t xml:space="preserve">-2018 року проводилися роботи з реконструкції вуличного освітлення. За даний період </w:t>
      </w:r>
      <w:r>
        <w:rPr>
          <w:b w:val="0"/>
          <w:sz w:val="28"/>
          <w:szCs w:val="28"/>
          <w:lang w:val="uk-UA"/>
        </w:rPr>
        <w:t>на дані роботи освоєно</w:t>
      </w:r>
      <w:r w:rsidRPr="00DA1F19">
        <w:rPr>
          <w:b w:val="0"/>
          <w:sz w:val="28"/>
          <w:szCs w:val="28"/>
          <w:lang w:val="uk-UA"/>
        </w:rPr>
        <w:t xml:space="preserve"> 1753,8 тис. гривень.</w:t>
      </w:r>
    </w:p>
    <w:p w:rsidR="00EF747D" w:rsidRDefault="00EF747D" w:rsidP="00EF747D">
      <w:pPr>
        <w:spacing w:after="0" w:line="240" w:lineRule="auto"/>
        <w:ind w:firstLine="851"/>
        <w:jc w:val="both"/>
        <w:rPr>
          <w:rFonts w:ascii="Times New Roman" w:hAnsi="Times New Roman" w:cs="Times New Roman"/>
          <w:sz w:val="28"/>
          <w:szCs w:val="28"/>
          <w:lang w:val="uk-UA"/>
        </w:rPr>
      </w:pPr>
      <w:r w:rsidRPr="00D300CD">
        <w:rPr>
          <w:rFonts w:ascii="Times New Roman" w:hAnsi="Times New Roman" w:cs="Times New Roman"/>
          <w:sz w:val="28"/>
          <w:szCs w:val="28"/>
          <w:lang w:val="uk-UA"/>
        </w:rPr>
        <w:t xml:space="preserve">Крім того, в 2017 році виділялися кошти державного бюджету  на здійснення заходів щодо соціально-економічного розвитку окремих територій, а саме на капітальний ремонт доріг, придбання меблів, комп’ютерного та мультимедійного обладнання для закладів освітньої галузі, стоматологічної установки та іншого медичного обладнання, оснащення технікою та меблями закладів культури району. Всього вдалося залучити державних інвестицій в розвиток територій району в сумі 3387,1 тис. гривень, в тому числі для Недригайлівської громади – 1533,9 тис. гривень, Коровинської – 981,5 тис. гривень, Вільшанської – 277,5 тис. гривень, Тернівської – 372, 2 тис. гривень, залучалися кошти до інших сільських рад в сумі 222,0 тис. гривень. </w:t>
      </w:r>
      <w:r>
        <w:rPr>
          <w:rFonts w:ascii="Times New Roman" w:hAnsi="Times New Roman" w:cs="Times New Roman"/>
          <w:sz w:val="28"/>
          <w:szCs w:val="28"/>
          <w:lang w:val="uk-UA"/>
        </w:rPr>
        <w:t>В листопаді поточного року  передбачені кошти державного бюджету для розвитку окремих територій району в сумі 743,1 тис гривень. Це на придбання дитячого майданчика для Засульського ДНЗ (100,0 тис гривень), меблів для Червонослобідської сільської бібліотеки (50,0 тис гривень), сумок-укладок для первинної медичної допомоги (близько 340 тис гривень) тощо.</w:t>
      </w:r>
    </w:p>
    <w:p w:rsidR="00617986" w:rsidRPr="00617986" w:rsidRDefault="00617986" w:rsidP="00617986">
      <w:pPr>
        <w:pStyle w:val="a3"/>
        <w:ind w:left="0" w:firstLine="851"/>
        <w:jc w:val="both"/>
        <w:rPr>
          <w:rFonts w:ascii="Times New Roman" w:hAnsi="Times New Roman" w:cs="Times New Roman"/>
          <w:bCs/>
          <w:sz w:val="28"/>
          <w:szCs w:val="28"/>
          <w:lang w:val="uk-UA"/>
        </w:rPr>
      </w:pPr>
      <w:r w:rsidRPr="00617986">
        <w:rPr>
          <w:rFonts w:ascii="Times New Roman" w:hAnsi="Times New Roman" w:cs="Times New Roman"/>
          <w:color w:val="000000"/>
          <w:sz w:val="28"/>
          <w:szCs w:val="28"/>
          <w:lang w:val="uk-UA"/>
        </w:rPr>
        <w:t xml:space="preserve">Недригайлівський район є учасником проекту ЄС/ПРООН «Місцевий розвиток орієнтований на громаду», завдяки якому в районі вдалося термомодернізувати Засульський ДНЗ, провести більше 20 км сільських водогонів в селах Засулля, Маршали, Козельне, Сакуниха,  смт. Недригайлів та ін.), відремонтувати ФАП с. Маршали. Крім того,  </w:t>
      </w:r>
      <w:r w:rsidRPr="00617986">
        <w:rPr>
          <w:rFonts w:ascii="Times New Roman" w:hAnsi="Times New Roman" w:cs="Times New Roman"/>
          <w:sz w:val="28"/>
          <w:szCs w:val="28"/>
          <w:lang w:val="uk-UA"/>
        </w:rPr>
        <w:t xml:space="preserve">в рамках третьої фази </w:t>
      </w:r>
      <w:r w:rsidRPr="00617986">
        <w:rPr>
          <w:rFonts w:ascii="Times New Roman" w:hAnsi="Times New Roman" w:cs="Times New Roman"/>
          <w:bCs/>
          <w:sz w:val="28"/>
          <w:szCs w:val="28"/>
          <w:lang w:val="uk-UA"/>
        </w:rPr>
        <w:t xml:space="preserve">Проекту ЄС/ПРООН </w:t>
      </w:r>
      <w:r w:rsidRPr="00617986">
        <w:rPr>
          <w:rFonts w:ascii="Times New Roman" w:hAnsi="Times New Roman" w:cs="Times New Roman"/>
          <w:sz w:val="28"/>
          <w:szCs w:val="28"/>
          <w:lang w:val="uk-UA"/>
        </w:rPr>
        <w:t xml:space="preserve">(2015-2017 роки) проведена робота щодо створення двох сільськогосподарських  обслуговуючих кооперативів в с. Хоружівка та смт. Недригайлів, які на даний час активно працюють.  </w:t>
      </w:r>
      <w:r w:rsidRPr="00617986">
        <w:rPr>
          <w:rFonts w:ascii="Times New Roman" w:hAnsi="Times New Roman" w:cs="Times New Roman"/>
          <w:bCs/>
          <w:sz w:val="28"/>
          <w:szCs w:val="28"/>
          <w:lang w:val="uk-UA"/>
        </w:rPr>
        <w:t xml:space="preserve">Вартість реалізації Проекту на етапі придбання сільськогосподарської техніки та обладнання становила: </w:t>
      </w:r>
    </w:p>
    <w:p w:rsidR="00617986" w:rsidRPr="00617986" w:rsidRDefault="00617986" w:rsidP="00617986">
      <w:pPr>
        <w:pStyle w:val="a3"/>
        <w:ind w:left="0" w:firstLine="851"/>
        <w:jc w:val="both"/>
        <w:rPr>
          <w:rFonts w:ascii="Times New Roman" w:hAnsi="Times New Roman" w:cs="Times New Roman"/>
          <w:bCs/>
          <w:sz w:val="28"/>
          <w:szCs w:val="28"/>
          <w:lang w:val="uk-UA"/>
        </w:rPr>
      </w:pPr>
      <w:r w:rsidRPr="00617986">
        <w:rPr>
          <w:rFonts w:ascii="Times New Roman" w:hAnsi="Times New Roman" w:cs="Times New Roman"/>
          <w:bCs/>
          <w:sz w:val="28"/>
          <w:szCs w:val="28"/>
          <w:lang w:val="uk-UA"/>
        </w:rPr>
        <w:t xml:space="preserve">СОК «Недригайлів» становить - 693, 3 тис. грн., в  т.ч. коштів ПРООН  - 530,0 тис. грн.; </w:t>
      </w:r>
    </w:p>
    <w:p w:rsidR="00617986" w:rsidRPr="00617986" w:rsidRDefault="00617986" w:rsidP="00617986">
      <w:pPr>
        <w:spacing w:after="0" w:line="240" w:lineRule="auto"/>
        <w:ind w:firstLine="851"/>
        <w:jc w:val="both"/>
        <w:rPr>
          <w:rFonts w:ascii="Times New Roman" w:hAnsi="Times New Roman" w:cs="Times New Roman"/>
          <w:bCs/>
          <w:sz w:val="28"/>
          <w:szCs w:val="28"/>
          <w:lang w:val="uk-UA"/>
        </w:rPr>
      </w:pPr>
      <w:r w:rsidRPr="00617986">
        <w:rPr>
          <w:rFonts w:ascii="Times New Roman" w:hAnsi="Times New Roman" w:cs="Times New Roman"/>
          <w:bCs/>
          <w:sz w:val="28"/>
          <w:szCs w:val="28"/>
          <w:lang w:val="uk-UA"/>
        </w:rPr>
        <w:t xml:space="preserve">СОК «Господар -2015» - 679, 2 тис. грн., в т.ч. коштів ПРООН  - 530,0 тис. грн. </w:t>
      </w:r>
    </w:p>
    <w:p w:rsidR="00617986" w:rsidRDefault="00617986" w:rsidP="00617986">
      <w:pPr>
        <w:spacing w:after="0" w:line="240" w:lineRule="auto"/>
        <w:ind w:firstLine="851"/>
        <w:jc w:val="both"/>
        <w:rPr>
          <w:rFonts w:ascii="Times New Roman" w:hAnsi="Times New Roman" w:cs="Times New Roman"/>
          <w:sz w:val="28"/>
          <w:szCs w:val="28"/>
          <w:lang w:val="uk-UA"/>
        </w:rPr>
      </w:pPr>
      <w:r w:rsidRPr="00617986">
        <w:rPr>
          <w:rFonts w:ascii="Times New Roman" w:hAnsi="Times New Roman" w:cs="Times New Roman"/>
          <w:sz w:val="28"/>
          <w:szCs w:val="28"/>
          <w:lang w:val="uk-UA"/>
        </w:rPr>
        <w:t>Загальна вартість проектів в 3 фазі по кооперативах склала 2522,2 тис. гривень, з них внесок міжнародної організації – 1821,0 тис. гривень (73,0%).</w:t>
      </w:r>
    </w:p>
    <w:p w:rsidR="009E3C3B" w:rsidRPr="009E3C3B" w:rsidRDefault="009E3C3B" w:rsidP="009E3C3B">
      <w:pPr>
        <w:pStyle w:val="a3"/>
        <w:shd w:val="clear" w:color="auto" w:fill="FFFFFF"/>
        <w:tabs>
          <w:tab w:val="left" w:pos="709"/>
        </w:tabs>
        <w:ind w:left="0" w:firstLine="851"/>
        <w:jc w:val="both"/>
        <w:rPr>
          <w:rFonts w:ascii="Times New Roman" w:hAnsi="Times New Roman" w:cs="Times New Roman"/>
          <w:color w:val="000000"/>
          <w:sz w:val="28"/>
          <w:szCs w:val="28"/>
          <w:lang w:val="uk-UA"/>
        </w:rPr>
      </w:pPr>
      <w:r w:rsidRPr="009E3C3B">
        <w:rPr>
          <w:rFonts w:ascii="Times New Roman" w:hAnsi="Times New Roman" w:cs="Times New Roman"/>
          <w:sz w:val="28"/>
          <w:szCs w:val="28"/>
          <w:lang w:val="uk-UA"/>
        </w:rPr>
        <w:t xml:space="preserve">Недригайлівською районною державною адміністрацією спільно з іншими розпорядниками бюджетних коштів району починаючи з квітня 2016 року поступово впроваджувався пілотний проект щодо електронних закупівель через систему Прозорро. Проводилися наради при райдержадміністрації, семінари-тренінги з практичного застосування системи при облдержадміністрації, в яких приймали участь представники бюджетних установ-розпорядників коштів. Як результат в  2016 році проведено 17 закупівель через систему Прозорро  на загальну суму 318, 2 тис гривень, економія бюджетних коштів склала 19,7 тис. гривень. На сьогодні всі </w:t>
      </w:r>
      <w:r w:rsidRPr="009E3C3B">
        <w:rPr>
          <w:rFonts w:ascii="Times New Roman" w:hAnsi="Times New Roman" w:cs="Times New Roman"/>
          <w:sz w:val="28"/>
          <w:szCs w:val="28"/>
          <w:lang w:val="uk-UA"/>
        </w:rPr>
        <w:lastRenderedPageBreak/>
        <w:t xml:space="preserve">розпорядники бюджетних коштів працюють в даній системі, що дає змогу економити бюджетні кошти.  </w:t>
      </w:r>
    </w:p>
    <w:p w:rsidR="009E3C3B" w:rsidRPr="009E3C3B" w:rsidRDefault="009E3C3B" w:rsidP="00617986">
      <w:pPr>
        <w:spacing w:after="0" w:line="240" w:lineRule="auto"/>
        <w:ind w:firstLine="851"/>
        <w:jc w:val="both"/>
        <w:rPr>
          <w:rFonts w:ascii="Times New Roman" w:hAnsi="Times New Roman" w:cs="Times New Roman"/>
          <w:sz w:val="28"/>
          <w:szCs w:val="28"/>
          <w:lang w:val="uk-UA"/>
        </w:rPr>
      </w:pPr>
    </w:p>
    <w:p w:rsidR="00617986" w:rsidRPr="004E3DFD" w:rsidRDefault="00617986" w:rsidP="00617986">
      <w:pPr>
        <w:pStyle w:val="21"/>
        <w:spacing w:line="240" w:lineRule="auto"/>
        <w:ind w:firstLine="851"/>
        <w:rPr>
          <w:b w:val="0"/>
          <w:sz w:val="28"/>
          <w:szCs w:val="28"/>
          <w:lang w:val="uk-UA"/>
        </w:rPr>
      </w:pPr>
      <w:r w:rsidRPr="004E3DFD">
        <w:rPr>
          <w:b w:val="0"/>
          <w:sz w:val="28"/>
          <w:szCs w:val="28"/>
          <w:lang w:val="uk-UA"/>
        </w:rPr>
        <w:t>По галузі освіти проведена вели</w:t>
      </w:r>
      <w:r>
        <w:rPr>
          <w:b w:val="0"/>
          <w:sz w:val="28"/>
          <w:szCs w:val="28"/>
          <w:lang w:val="uk-UA"/>
        </w:rPr>
        <w:t>ка</w:t>
      </w:r>
      <w:r w:rsidRPr="004E3DFD">
        <w:rPr>
          <w:b w:val="0"/>
          <w:sz w:val="28"/>
          <w:szCs w:val="28"/>
          <w:lang w:val="uk-UA"/>
        </w:rPr>
        <w:t xml:space="preserve"> робота по зміцненню та наповненню матеріально-технічної бази закладів. В 2017 році закуплено </w:t>
      </w:r>
    </w:p>
    <w:p w:rsidR="00617986" w:rsidRDefault="00617986" w:rsidP="00617986">
      <w:pPr>
        <w:pStyle w:val="21"/>
        <w:spacing w:line="240" w:lineRule="auto"/>
        <w:rPr>
          <w:b w:val="0"/>
          <w:sz w:val="28"/>
          <w:szCs w:val="28"/>
          <w:lang w:val="uk-UA"/>
        </w:rPr>
      </w:pPr>
      <w:r w:rsidRPr="004E3DFD">
        <w:rPr>
          <w:b w:val="0"/>
          <w:sz w:val="28"/>
          <w:szCs w:val="28"/>
          <w:lang w:val="uk-UA"/>
        </w:rPr>
        <w:t>три шкільні автобуси для Недригайлівської, Вільшанської та  Тернівської ЗОШ І-ІІІ ступенів за рахунок різних ступенів бюджеті</w:t>
      </w:r>
      <w:r>
        <w:rPr>
          <w:b w:val="0"/>
          <w:sz w:val="28"/>
          <w:szCs w:val="28"/>
          <w:lang w:val="uk-UA"/>
        </w:rPr>
        <w:t xml:space="preserve">в на суму 4478,0 тис. </w:t>
      </w:r>
      <w:r w:rsidRPr="004E3DFD">
        <w:rPr>
          <w:b w:val="0"/>
          <w:sz w:val="28"/>
          <w:szCs w:val="28"/>
          <w:lang w:val="uk-UA"/>
        </w:rPr>
        <w:t>гривень</w:t>
      </w:r>
      <w:r>
        <w:rPr>
          <w:b w:val="0"/>
          <w:sz w:val="28"/>
          <w:szCs w:val="28"/>
          <w:lang w:val="uk-UA"/>
        </w:rPr>
        <w:t xml:space="preserve">. В 2018 році закуплено ще один автобус для Коровинської ЗОШ І-ІІІ ст. вартістю 1743,7 тис гривень. </w:t>
      </w:r>
      <w:r w:rsidRPr="004E3DFD">
        <w:rPr>
          <w:b w:val="0"/>
          <w:sz w:val="28"/>
          <w:szCs w:val="28"/>
          <w:lang w:val="uk-UA"/>
        </w:rPr>
        <w:t xml:space="preserve">З утворенням громад та створенням опорних шкіл в районі успішно реалізовується проект «Нова українська школа». В рамках даного проекту придбавалися меблі для класних та ігрових кімнат, обладнання комп’ютерне та мультимедійне, спортивний та інший інвентар, тощо. В 2018 році по Вільшанській ЗОШ І-ІІІ ст.. по даному проекту фінансування склало </w:t>
      </w:r>
      <w:r w:rsidRPr="008B6995">
        <w:rPr>
          <w:rStyle w:val="FontStyle11"/>
          <w:b w:val="0"/>
          <w:sz w:val="28"/>
          <w:szCs w:val="28"/>
          <w:lang w:val="uk-UA" w:eastAsia="uk-UA"/>
        </w:rPr>
        <w:t>1196,2 тис. грн.</w:t>
      </w:r>
      <w:r w:rsidRPr="004E3DFD">
        <w:rPr>
          <w:b w:val="0"/>
          <w:sz w:val="28"/>
          <w:szCs w:val="28"/>
          <w:lang w:val="uk-UA"/>
        </w:rPr>
        <w:t>,  по Коровинській школі – 530,2 тис гривень</w:t>
      </w:r>
      <w:r>
        <w:rPr>
          <w:b w:val="0"/>
          <w:sz w:val="28"/>
          <w:szCs w:val="28"/>
          <w:lang w:val="uk-UA"/>
        </w:rPr>
        <w:t>, по Тернівській ЗОШ І-ІІІ ст. – 500,1 тис. гривень.  По Недригайлівс</w:t>
      </w:r>
      <w:r w:rsidRPr="004E3DFD">
        <w:rPr>
          <w:b w:val="0"/>
          <w:sz w:val="28"/>
          <w:szCs w:val="28"/>
          <w:lang w:val="uk-UA"/>
        </w:rPr>
        <w:t xml:space="preserve">ькій ОТГ у рамках реалізації Концепції Нової української школи з вересня 2017 року розпочалося пілотне впровадження проекту нового Державного стандарту початкової загальної освіти, для якого серед </w:t>
      </w:r>
    </w:p>
    <w:p w:rsidR="00617986" w:rsidRDefault="00617986" w:rsidP="00617986">
      <w:pPr>
        <w:pStyle w:val="21"/>
        <w:spacing w:line="240" w:lineRule="auto"/>
        <w:rPr>
          <w:b w:val="0"/>
          <w:sz w:val="28"/>
          <w:szCs w:val="28"/>
          <w:lang w:val="uk-UA"/>
        </w:rPr>
      </w:pPr>
      <w:r w:rsidRPr="004E3DFD">
        <w:rPr>
          <w:b w:val="0"/>
          <w:sz w:val="28"/>
          <w:szCs w:val="28"/>
          <w:lang w:val="uk-UA"/>
        </w:rPr>
        <w:t xml:space="preserve">4-х шкіл області залучено і Недригайлівську СЗОШ. </w:t>
      </w:r>
    </w:p>
    <w:p w:rsidR="00617986" w:rsidRDefault="00617986" w:rsidP="00617986">
      <w:pPr>
        <w:spacing w:after="0" w:line="240" w:lineRule="auto"/>
        <w:ind w:firstLine="851"/>
        <w:jc w:val="both"/>
        <w:rPr>
          <w:rFonts w:ascii="Times New Roman" w:hAnsi="Times New Roman" w:cs="Times New Roman"/>
          <w:sz w:val="28"/>
          <w:szCs w:val="28"/>
          <w:lang w:val="uk-UA"/>
        </w:rPr>
      </w:pPr>
      <w:r w:rsidRPr="00DA1F19">
        <w:rPr>
          <w:rFonts w:ascii="Times New Roman" w:hAnsi="Times New Roman" w:cs="Times New Roman"/>
          <w:bCs/>
          <w:sz w:val="28"/>
          <w:szCs w:val="28"/>
          <w:lang w:val="uk-UA"/>
        </w:rPr>
        <w:t>По закладах охорони здоров’я, в рамках поліпшення матеріально-технічної бази, в 2017 році вдалося виконати заходи по п</w:t>
      </w:r>
      <w:r w:rsidRPr="00DA1F19">
        <w:rPr>
          <w:rFonts w:ascii="Times New Roman" w:hAnsi="Times New Roman" w:cs="Times New Roman"/>
          <w:sz w:val="28"/>
          <w:szCs w:val="28"/>
          <w:lang w:val="uk-UA"/>
        </w:rPr>
        <w:t>ридбанню апарату ультразвукового дослідження вартістю 1194,0 тис грн. за рахунок коштів місцевого та обласного бюджетів</w:t>
      </w:r>
      <w:r w:rsidRPr="00DA1F19">
        <w:rPr>
          <w:rFonts w:ascii="Times New Roman" w:hAnsi="Times New Roman" w:cs="Times New Roman"/>
          <w:b/>
          <w:sz w:val="28"/>
          <w:szCs w:val="28"/>
          <w:lang w:val="uk-UA"/>
        </w:rPr>
        <w:t xml:space="preserve">, </w:t>
      </w:r>
      <w:r w:rsidRPr="00C20E62">
        <w:rPr>
          <w:rFonts w:ascii="Times New Roman" w:hAnsi="Times New Roman" w:cs="Times New Roman"/>
          <w:sz w:val="28"/>
          <w:szCs w:val="28"/>
          <w:lang w:val="uk-UA"/>
        </w:rPr>
        <w:t>придбано та встановлено стоматологічну установку на суму 98,0 тис. гривень. На</w:t>
      </w:r>
      <w:r w:rsidRPr="00DA1F1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реалізацію проекту </w:t>
      </w:r>
      <w:r w:rsidRPr="00DA1F19">
        <w:rPr>
          <w:rFonts w:ascii="Times New Roman" w:hAnsi="Times New Roman" w:cs="Times New Roman"/>
          <w:sz w:val="28"/>
          <w:szCs w:val="28"/>
          <w:lang w:val="uk-UA"/>
        </w:rPr>
        <w:t>«Капітальний ремонт покрівлі з утепленням горища та капітальний ремонт внутрішніх приміщень будівлі АЗПСМ смт. Терни, вул.. Небесної Сотні,11 Недригайлівського району Сумської області»  були виділено та профінансовано  кошти у 2018 році з районного бюджету в сумі 220,0 тис. грн., також виділено 750 тис. грн. на капітальний ремонт фасаду будівлі АЗПСМ смт. Терни.</w:t>
      </w:r>
    </w:p>
    <w:p w:rsidR="00617986" w:rsidRPr="00313990" w:rsidRDefault="00617986" w:rsidP="00617986">
      <w:pPr>
        <w:spacing w:after="0" w:line="240" w:lineRule="auto"/>
        <w:jc w:val="both"/>
        <w:rPr>
          <w:rFonts w:ascii="Times New Roman" w:hAnsi="Times New Roman" w:cs="Times New Roman"/>
          <w:color w:val="000000"/>
          <w:sz w:val="28"/>
          <w:szCs w:val="28"/>
          <w:lang w:val="uk-UA" w:eastAsia="uk-UA" w:bidi="uk-UA"/>
        </w:rPr>
      </w:pPr>
      <w:r>
        <w:rPr>
          <w:rFonts w:ascii="Times New Roman" w:hAnsi="Times New Roman" w:cs="Times New Roman"/>
          <w:color w:val="000000"/>
          <w:sz w:val="28"/>
          <w:szCs w:val="28"/>
          <w:lang w:val="uk-UA" w:bidi="ru-RU"/>
        </w:rPr>
        <w:t xml:space="preserve">             </w:t>
      </w:r>
      <w:r w:rsidRPr="00313990">
        <w:rPr>
          <w:rFonts w:ascii="Times New Roman" w:hAnsi="Times New Roman" w:cs="Times New Roman"/>
          <w:color w:val="000000"/>
          <w:sz w:val="28"/>
          <w:szCs w:val="28"/>
          <w:lang w:val="uk-UA" w:bidi="ru-RU"/>
        </w:rPr>
        <w:t xml:space="preserve"> В 2018 році проведена </w:t>
      </w:r>
      <w:r w:rsidRPr="00313990">
        <w:rPr>
          <w:rFonts w:ascii="Times New Roman" w:hAnsi="Times New Roman" w:cs="Times New Roman"/>
          <w:color w:val="000000"/>
          <w:sz w:val="28"/>
          <w:szCs w:val="28"/>
          <w:lang w:val="uk-UA" w:eastAsia="uk-UA" w:bidi="uk-UA"/>
        </w:rPr>
        <w:t xml:space="preserve">організаційна </w:t>
      </w:r>
      <w:r w:rsidRPr="00313990">
        <w:rPr>
          <w:rFonts w:ascii="Times New Roman" w:hAnsi="Times New Roman" w:cs="Times New Roman"/>
          <w:color w:val="000000"/>
          <w:sz w:val="28"/>
          <w:szCs w:val="28"/>
          <w:lang w:val="uk-UA" w:bidi="ru-RU"/>
        </w:rPr>
        <w:t xml:space="preserve">робота по </w:t>
      </w:r>
      <w:r w:rsidRPr="00313990">
        <w:rPr>
          <w:rFonts w:ascii="Times New Roman" w:hAnsi="Times New Roman" w:cs="Times New Roman"/>
          <w:color w:val="000000"/>
          <w:sz w:val="28"/>
          <w:szCs w:val="28"/>
          <w:lang w:val="uk-UA" w:eastAsia="uk-UA" w:bidi="uk-UA"/>
        </w:rPr>
        <w:t>автономізації                         К</w:t>
      </w:r>
      <w:r w:rsidRPr="00313990">
        <w:rPr>
          <w:rFonts w:ascii="Times New Roman" w:hAnsi="Times New Roman" w:cs="Times New Roman"/>
          <w:color w:val="000000"/>
          <w:sz w:val="28"/>
          <w:szCs w:val="28"/>
          <w:lang w:val="uk-UA" w:bidi="ru-RU"/>
        </w:rPr>
        <w:t xml:space="preserve">З </w:t>
      </w:r>
      <w:r w:rsidRPr="00313990">
        <w:rPr>
          <w:rFonts w:ascii="Times New Roman" w:hAnsi="Times New Roman" w:cs="Times New Roman"/>
          <w:color w:val="000000"/>
          <w:sz w:val="28"/>
          <w:szCs w:val="28"/>
          <w:lang w:val="uk-UA" w:eastAsia="uk-UA" w:bidi="uk-UA"/>
        </w:rPr>
        <w:t xml:space="preserve">«Недригайлівський районний </w:t>
      </w:r>
      <w:r w:rsidRPr="00313990">
        <w:rPr>
          <w:rFonts w:ascii="Times New Roman" w:hAnsi="Times New Roman" w:cs="Times New Roman"/>
          <w:color w:val="000000"/>
          <w:sz w:val="28"/>
          <w:szCs w:val="28"/>
          <w:lang w:val="uk-UA" w:bidi="ru-RU"/>
        </w:rPr>
        <w:t xml:space="preserve">центр ПМСД» шляхом </w:t>
      </w:r>
      <w:r w:rsidRPr="00313990">
        <w:rPr>
          <w:rFonts w:ascii="Times New Roman" w:hAnsi="Times New Roman" w:cs="Times New Roman"/>
          <w:color w:val="000000"/>
          <w:sz w:val="28"/>
          <w:szCs w:val="28"/>
          <w:lang w:val="uk-UA" w:eastAsia="uk-UA" w:bidi="uk-UA"/>
        </w:rPr>
        <w:t xml:space="preserve">перетворення </w:t>
      </w:r>
      <w:r w:rsidRPr="00313990">
        <w:rPr>
          <w:rFonts w:ascii="Times New Roman" w:hAnsi="Times New Roman" w:cs="Times New Roman"/>
          <w:color w:val="000000"/>
          <w:sz w:val="28"/>
          <w:szCs w:val="28"/>
          <w:lang w:val="uk-UA" w:bidi="ru-RU"/>
        </w:rPr>
        <w:t xml:space="preserve">в </w:t>
      </w:r>
      <w:r w:rsidRPr="00313990">
        <w:rPr>
          <w:rFonts w:ascii="Times New Roman" w:hAnsi="Times New Roman" w:cs="Times New Roman"/>
          <w:color w:val="000000"/>
          <w:sz w:val="28"/>
          <w:szCs w:val="28"/>
          <w:lang w:val="uk-UA" w:eastAsia="uk-UA" w:bidi="uk-UA"/>
        </w:rPr>
        <w:t>комунальне некомерційне підприємство.</w:t>
      </w:r>
    </w:p>
    <w:p w:rsidR="00617986" w:rsidRDefault="00617986" w:rsidP="00617986">
      <w:pPr>
        <w:pStyle w:val="20"/>
        <w:shd w:val="clear" w:color="auto" w:fill="auto"/>
        <w:spacing w:before="0" w:after="0" w:line="322" w:lineRule="exact"/>
        <w:ind w:left="19" w:firstLine="400"/>
        <w:rPr>
          <w:lang w:val="uk-UA"/>
        </w:rPr>
      </w:pPr>
      <w:r>
        <w:rPr>
          <w:color w:val="000000"/>
          <w:lang w:val="uk-UA" w:eastAsia="uk-UA" w:bidi="uk-UA"/>
        </w:rPr>
        <w:t xml:space="preserve">       Станом на 26.11.2018 року по КЗ «Недригайлівський районний центр ПМСД»</w:t>
      </w:r>
      <w:r>
        <w:rPr>
          <w:lang w:val="uk-UA"/>
        </w:rPr>
        <w:t xml:space="preserve"> підписано 14284 декларацій, що становить 59,6% від населення, в тому числі по амбулаторіях:</w:t>
      </w:r>
    </w:p>
    <w:p w:rsidR="00617986" w:rsidRDefault="00617986" w:rsidP="00617986">
      <w:pPr>
        <w:pStyle w:val="20"/>
        <w:shd w:val="clear" w:color="auto" w:fill="auto"/>
        <w:spacing w:before="0" w:after="0" w:line="322" w:lineRule="exact"/>
        <w:ind w:left="19" w:firstLine="400"/>
        <w:rPr>
          <w:lang w:val="uk-UA"/>
        </w:rPr>
      </w:pPr>
    </w:p>
    <w:tbl>
      <w:tblPr>
        <w:tblW w:w="0" w:type="auto"/>
        <w:tblLayout w:type="fixed"/>
        <w:tblCellMar>
          <w:left w:w="10" w:type="dxa"/>
          <w:right w:w="10" w:type="dxa"/>
        </w:tblCellMar>
        <w:tblLook w:val="0000"/>
      </w:tblPr>
      <w:tblGrid>
        <w:gridCol w:w="600"/>
        <w:gridCol w:w="4205"/>
        <w:gridCol w:w="2405"/>
        <w:gridCol w:w="2395"/>
      </w:tblGrid>
      <w:tr w:rsidR="00617986" w:rsidRPr="006F649D" w:rsidTr="0049437C">
        <w:trPr>
          <w:trHeight w:hRule="exact" w:val="672"/>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60" w:line="280" w:lineRule="exact"/>
              <w:jc w:val="left"/>
            </w:pPr>
            <w:r>
              <w:t>№</w:t>
            </w:r>
          </w:p>
          <w:p w:rsidR="00617986" w:rsidRDefault="00617986" w:rsidP="0049437C">
            <w:pPr>
              <w:pStyle w:val="20"/>
              <w:shd w:val="clear" w:color="auto" w:fill="auto"/>
              <w:spacing w:before="60" w:after="0" w:line="280" w:lineRule="exact"/>
              <w:jc w:val="left"/>
            </w:pPr>
            <w:r>
              <w:t>п/п</w:t>
            </w:r>
          </w:p>
        </w:tc>
        <w:tc>
          <w:tcPr>
            <w:tcW w:w="4205" w:type="dxa"/>
            <w:tcBorders>
              <w:top w:val="single" w:sz="4" w:space="0" w:color="auto"/>
              <w:left w:val="single" w:sz="4" w:space="0" w:color="auto"/>
            </w:tcBorders>
            <w:shd w:val="clear" w:color="auto" w:fill="FFFFFF"/>
          </w:tcPr>
          <w:p w:rsidR="00617986" w:rsidRDefault="00617986" w:rsidP="0049437C">
            <w:pPr>
              <w:pStyle w:val="20"/>
              <w:shd w:val="clear" w:color="auto" w:fill="auto"/>
              <w:spacing w:before="0" w:after="0" w:line="280" w:lineRule="exact"/>
              <w:jc w:val="center"/>
            </w:pPr>
            <w:r>
              <w:t>Назва дільниці</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60" w:line="280" w:lineRule="exact"/>
              <w:jc w:val="center"/>
            </w:pPr>
            <w:r>
              <w:t>Задекларовано</w:t>
            </w:r>
          </w:p>
          <w:p w:rsidR="00617986" w:rsidRDefault="00617986" w:rsidP="0049437C">
            <w:pPr>
              <w:pStyle w:val="20"/>
              <w:shd w:val="clear" w:color="auto" w:fill="auto"/>
              <w:spacing w:before="60" w:after="0" w:line="280" w:lineRule="exact"/>
              <w:jc w:val="center"/>
            </w:pPr>
            <w:r>
              <w:t>осіб</w:t>
            </w:r>
          </w:p>
        </w:tc>
        <w:tc>
          <w:tcPr>
            <w:tcW w:w="2395" w:type="dxa"/>
            <w:tcBorders>
              <w:top w:val="single" w:sz="4" w:space="0" w:color="auto"/>
              <w:left w:val="single" w:sz="4" w:space="0" w:color="auto"/>
              <w:right w:val="single" w:sz="4" w:space="0" w:color="auto"/>
            </w:tcBorders>
            <w:shd w:val="clear" w:color="auto" w:fill="FFFFFF"/>
          </w:tcPr>
          <w:p w:rsidR="00617986" w:rsidRDefault="00617986" w:rsidP="0049437C">
            <w:pPr>
              <w:pStyle w:val="20"/>
              <w:shd w:val="clear" w:color="auto" w:fill="auto"/>
              <w:spacing w:before="0" w:after="0" w:line="280" w:lineRule="exact"/>
              <w:jc w:val="center"/>
            </w:pPr>
            <w:r w:rsidRPr="006F649D">
              <w:rPr>
                <w:rStyle w:val="2FranklinGothicDemi115pt"/>
              </w:rPr>
              <w:t>%</w:t>
            </w:r>
            <w:r>
              <w:t xml:space="preserve"> від населення</w:t>
            </w:r>
          </w:p>
        </w:tc>
      </w:tr>
      <w:tr w:rsidR="00617986" w:rsidRPr="006F649D" w:rsidTr="0049437C">
        <w:trPr>
          <w:trHeight w:hRule="exact" w:val="336"/>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1</w:t>
            </w:r>
          </w:p>
        </w:tc>
        <w:tc>
          <w:tcPr>
            <w:tcW w:w="42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АЗПСМ смт. Недригайлів</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6204</w:t>
            </w:r>
          </w:p>
        </w:tc>
        <w:tc>
          <w:tcPr>
            <w:tcW w:w="2395" w:type="dxa"/>
            <w:tcBorders>
              <w:top w:val="single" w:sz="4" w:space="0" w:color="auto"/>
              <w:left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72,0</w:t>
            </w:r>
          </w:p>
        </w:tc>
      </w:tr>
      <w:tr w:rsidR="00617986" w:rsidRPr="006F649D" w:rsidTr="0049437C">
        <w:trPr>
          <w:trHeight w:hRule="exact" w:val="331"/>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2</w:t>
            </w:r>
          </w:p>
        </w:tc>
        <w:tc>
          <w:tcPr>
            <w:tcW w:w="42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АЗПСМ смт. Терни</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1885</w:t>
            </w:r>
          </w:p>
        </w:tc>
        <w:tc>
          <w:tcPr>
            <w:tcW w:w="2395" w:type="dxa"/>
            <w:tcBorders>
              <w:top w:val="single" w:sz="4" w:space="0" w:color="auto"/>
              <w:left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54,0</w:t>
            </w:r>
          </w:p>
        </w:tc>
      </w:tr>
      <w:tr w:rsidR="00617986" w:rsidRPr="006F649D" w:rsidTr="0049437C">
        <w:trPr>
          <w:trHeight w:hRule="exact" w:val="326"/>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3</w:t>
            </w:r>
          </w:p>
        </w:tc>
        <w:tc>
          <w:tcPr>
            <w:tcW w:w="42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АЗПСМ с. Коровинці</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2214</w:t>
            </w:r>
          </w:p>
        </w:tc>
        <w:tc>
          <w:tcPr>
            <w:tcW w:w="2395" w:type="dxa"/>
            <w:tcBorders>
              <w:top w:val="single" w:sz="4" w:space="0" w:color="auto"/>
              <w:left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65,3</w:t>
            </w:r>
          </w:p>
        </w:tc>
      </w:tr>
      <w:tr w:rsidR="00617986" w:rsidRPr="006F649D" w:rsidTr="0049437C">
        <w:trPr>
          <w:trHeight w:hRule="exact" w:val="336"/>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4</w:t>
            </w:r>
          </w:p>
        </w:tc>
        <w:tc>
          <w:tcPr>
            <w:tcW w:w="42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АЗПСМ с. Вільшана</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1560</w:t>
            </w:r>
          </w:p>
        </w:tc>
        <w:tc>
          <w:tcPr>
            <w:tcW w:w="2395" w:type="dxa"/>
            <w:tcBorders>
              <w:top w:val="single" w:sz="4" w:space="0" w:color="auto"/>
              <w:left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41,2</w:t>
            </w:r>
          </w:p>
        </w:tc>
      </w:tr>
      <w:tr w:rsidR="00617986" w:rsidRPr="006F649D" w:rsidTr="0049437C">
        <w:trPr>
          <w:trHeight w:hRule="exact" w:val="331"/>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5.</w:t>
            </w:r>
          </w:p>
        </w:tc>
        <w:tc>
          <w:tcPr>
            <w:tcW w:w="42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АЗПСМ с. Хоружівка</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730</w:t>
            </w:r>
          </w:p>
        </w:tc>
        <w:tc>
          <w:tcPr>
            <w:tcW w:w="2395" w:type="dxa"/>
            <w:tcBorders>
              <w:top w:val="single" w:sz="4" w:space="0" w:color="auto"/>
              <w:left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67,7</w:t>
            </w:r>
          </w:p>
        </w:tc>
      </w:tr>
      <w:tr w:rsidR="00617986" w:rsidRPr="006F649D" w:rsidTr="0049437C">
        <w:trPr>
          <w:trHeight w:hRule="exact" w:val="331"/>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6</w:t>
            </w:r>
          </w:p>
        </w:tc>
        <w:tc>
          <w:tcPr>
            <w:tcW w:w="42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АЗПСМ с.Деркачівка</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621</w:t>
            </w:r>
          </w:p>
        </w:tc>
        <w:tc>
          <w:tcPr>
            <w:tcW w:w="2395" w:type="dxa"/>
            <w:tcBorders>
              <w:top w:val="single" w:sz="4" w:space="0" w:color="auto"/>
              <w:left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46,8</w:t>
            </w:r>
          </w:p>
        </w:tc>
      </w:tr>
      <w:tr w:rsidR="00617986" w:rsidRPr="006F649D" w:rsidTr="0049437C">
        <w:trPr>
          <w:trHeight w:hRule="exact" w:val="331"/>
        </w:trPr>
        <w:tc>
          <w:tcPr>
            <w:tcW w:w="600"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7</w:t>
            </w:r>
          </w:p>
        </w:tc>
        <w:tc>
          <w:tcPr>
            <w:tcW w:w="42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АЗПСМ с. Томашівка</w:t>
            </w:r>
          </w:p>
        </w:tc>
        <w:tc>
          <w:tcPr>
            <w:tcW w:w="2405" w:type="dxa"/>
            <w:tcBorders>
              <w:top w:val="single" w:sz="4" w:space="0" w:color="auto"/>
              <w:lef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1085</w:t>
            </w:r>
          </w:p>
        </w:tc>
        <w:tc>
          <w:tcPr>
            <w:tcW w:w="2395" w:type="dxa"/>
            <w:tcBorders>
              <w:top w:val="single" w:sz="4" w:space="0" w:color="auto"/>
              <w:left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72,5</w:t>
            </w:r>
          </w:p>
        </w:tc>
      </w:tr>
      <w:tr w:rsidR="00617986" w:rsidRPr="006F649D" w:rsidTr="0049437C">
        <w:trPr>
          <w:trHeight w:hRule="exact" w:val="350"/>
        </w:trPr>
        <w:tc>
          <w:tcPr>
            <w:tcW w:w="600" w:type="dxa"/>
            <w:tcBorders>
              <w:top w:val="single" w:sz="4" w:space="0" w:color="auto"/>
              <w:left w:val="single" w:sz="4" w:space="0" w:color="auto"/>
              <w:bottom w:val="single" w:sz="4" w:space="0" w:color="auto"/>
            </w:tcBorders>
            <w:shd w:val="clear" w:color="auto" w:fill="FFFFFF"/>
          </w:tcPr>
          <w:p w:rsidR="00617986" w:rsidRPr="006F649D" w:rsidRDefault="00617986" w:rsidP="0049437C">
            <w:pPr>
              <w:rPr>
                <w:sz w:val="10"/>
                <w:szCs w:val="10"/>
              </w:rPr>
            </w:pPr>
          </w:p>
        </w:tc>
        <w:tc>
          <w:tcPr>
            <w:tcW w:w="4205" w:type="dxa"/>
            <w:tcBorders>
              <w:top w:val="single" w:sz="4" w:space="0" w:color="auto"/>
              <w:left w:val="single" w:sz="4" w:space="0" w:color="auto"/>
              <w:bottom w:val="single" w:sz="4" w:space="0" w:color="auto"/>
            </w:tcBorders>
            <w:shd w:val="clear" w:color="auto" w:fill="FFFFFF"/>
            <w:vAlign w:val="bottom"/>
          </w:tcPr>
          <w:p w:rsidR="00617986" w:rsidRDefault="00617986" w:rsidP="0049437C">
            <w:pPr>
              <w:pStyle w:val="20"/>
              <w:shd w:val="clear" w:color="auto" w:fill="auto"/>
              <w:spacing w:before="0" w:after="0" w:line="280" w:lineRule="exact"/>
              <w:jc w:val="left"/>
            </w:pPr>
            <w:r>
              <w:t>Всього</w:t>
            </w:r>
          </w:p>
        </w:tc>
        <w:tc>
          <w:tcPr>
            <w:tcW w:w="2405" w:type="dxa"/>
            <w:tcBorders>
              <w:top w:val="single" w:sz="4" w:space="0" w:color="auto"/>
              <w:left w:val="single" w:sz="4" w:space="0" w:color="auto"/>
              <w:bottom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14284</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bottom"/>
          </w:tcPr>
          <w:p w:rsidR="00617986" w:rsidRDefault="00617986" w:rsidP="0049437C">
            <w:pPr>
              <w:pStyle w:val="20"/>
              <w:shd w:val="clear" w:color="auto" w:fill="auto"/>
              <w:spacing w:before="0" w:after="0" w:line="280" w:lineRule="exact"/>
              <w:jc w:val="center"/>
            </w:pPr>
            <w:r>
              <w:t>59,6</w:t>
            </w:r>
          </w:p>
        </w:tc>
      </w:tr>
    </w:tbl>
    <w:p w:rsidR="00617986" w:rsidRDefault="00617986" w:rsidP="00617986">
      <w:pPr>
        <w:pStyle w:val="20"/>
        <w:shd w:val="clear" w:color="auto" w:fill="auto"/>
        <w:spacing w:before="0" w:after="0" w:line="322" w:lineRule="exact"/>
        <w:ind w:left="19" w:firstLine="400"/>
        <w:rPr>
          <w:b/>
          <w:lang w:val="uk-UA"/>
        </w:rPr>
      </w:pPr>
    </w:p>
    <w:p w:rsidR="00617986" w:rsidRDefault="00617986" w:rsidP="00617986">
      <w:pPr>
        <w:pStyle w:val="20"/>
        <w:shd w:val="clear" w:color="auto" w:fill="auto"/>
        <w:spacing w:before="0" w:after="0" w:line="322" w:lineRule="exact"/>
        <w:ind w:left="19" w:firstLine="400"/>
        <w:rPr>
          <w:lang w:val="uk-UA"/>
        </w:rPr>
      </w:pPr>
      <w:r w:rsidRPr="00493DE6">
        <w:rPr>
          <w:lang w:val="uk-UA"/>
        </w:rPr>
        <w:t>Протягом 2018 року проведена</w:t>
      </w:r>
      <w:r>
        <w:rPr>
          <w:lang w:val="uk-UA"/>
        </w:rPr>
        <w:t xml:space="preserve"> комп’ютеризація амбулаторій. Всі сімейні лікарі мають доступ до мережі Інтернет, отримали електронний підпис, провели реєстрацію в системі еHеlsі, перешкод в укладенні договорів з населенням немає.</w:t>
      </w:r>
    </w:p>
    <w:p w:rsidR="000C27E0" w:rsidRPr="005C19C0" w:rsidRDefault="000C27E0" w:rsidP="000C27E0">
      <w:pPr>
        <w:spacing w:after="0" w:line="240" w:lineRule="auto"/>
        <w:ind w:firstLine="708"/>
        <w:jc w:val="both"/>
        <w:rPr>
          <w:rFonts w:ascii="Times New Roman" w:eastAsia="Arial Unicode MS" w:hAnsi="Times New Roman" w:cs="Times New Roman"/>
          <w:sz w:val="28"/>
        </w:rPr>
      </w:pPr>
      <w:r w:rsidRPr="00B53A0C">
        <w:rPr>
          <w:rFonts w:ascii="Times New Roman" w:hAnsi="Times New Roman" w:cs="Times New Roman"/>
          <w:sz w:val="28"/>
          <w:szCs w:val="28"/>
          <w:lang w:val="uk-UA"/>
        </w:rPr>
        <w:t xml:space="preserve">Починаючи з 2014 року уряд України </w:t>
      </w:r>
      <w:r w:rsidR="00A15968">
        <w:rPr>
          <w:rFonts w:ascii="Times New Roman" w:hAnsi="Times New Roman" w:cs="Times New Roman"/>
          <w:sz w:val="28"/>
          <w:szCs w:val="28"/>
          <w:lang w:val="uk-UA"/>
        </w:rPr>
        <w:t xml:space="preserve">за ініціативи Президента України </w:t>
      </w:r>
      <w:r w:rsidRPr="00B53A0C">
        <w:rPr>
          <w:rFonts w:ascii="Times New Roman" w:hAnsi="Times New Roman" w:cs="Times New Roman"/>
          <w:sz w:val="28"/>
          <w:szCs w:val="28"/>
          <w:lang w:val="uk-UA"/>
        </w:rPr>
        <w:t>прийняв низку законів та законодавчих актів щодо збільшення доходів населення, поліпшення соціального зах</w:t>
      </w:r>
      <w:r w:rsidR="00B53A0C">
        <w:rPr>
          <w:rFonts w:ascii="Times New Roman" w:hAnsi="Times New Roman" w:cs="Times New Roman"/>
          <w:sz w:val="28"/>
          <w:szCs w:val="28"/>
          <w:lang w:val="uk-UA"/>
        </w:rPr>
        <w:t>исту вразливих верств населення</w:t>
      </w:r>
      <w:r w:rsidRPr="00B53A0C">
        <w:rPr>
          <w:rFonts w:ascii="Times New Roman" w:hAnsi="Times New Roman" w:cs="Times New Roman"/>
          <w:sz w:val="28"/>
          <w:szCs w:val="28"/>
          <w:lang w:val="uk-UA"/>
        </w:rPr>
        <w:t xml:space="preserve">. Якщо станом на </w:t>
      </w:r>
      <w:r w:rsidRPr="00B53A0C">
        <w:rPr>
          <w:rFonts w:ascii="Times New Roman" w:hAnsi="Times New Roman" w:cs="Times New Roman"/>
          <w:sz w:val="28"/>
          <w:lang w:val="uk-UA"/>
        </w:rPr>
        <w:t xml:space="preserve">   01.01.2014 розмір мінімальної  заробітної плати по Україна становив  1218</w:t>
      </w:r>
      <w:r>
        <w:rPr>
          <w:rFonts w:ascii="Times New Roman" w:hAnsi="Times New Roman" w:cs="Times New Roman"/>
          <w:sz w:val="28"/>
          <w:lang w:val="uk-UA"/>
        </w:rPr>
        <w:t xml:space="preserve"> гривень</w:t>
      </w:r>
      <w:r w:rsidRPr="005C19C0">
        <w:rPr>
          <w:rFonts w:ascii="Times New Roman" w:hAnsi="Times New Roman" w:cs="Times New Roman"/>
          <w:sz w:val="28"/>
          <w:lang w:val="uk-UA"/>
        </w:rPr>
        <w:t xml:space="preserve">, то в 2018 році </w:t>
      </w:r>
      <w:r>
        <w:rPr>
          <w:rFonts w:ascii="Times New Roman" w:hAnsi="Times New Roman" w:cs="Times New Roman"/>
          <w:sz w:val="28"/>
          <w:lang w:val="uk-UA"/>
        </w:rPr>
        <w:t xml:space="preserve">- </w:t>
      </w:r>
      <w:r w:rsidRPr="005C19C0">
        <w:rPr>
          <w:rFonts w:ascii="Times New Roman" w:hAnsi="Times New Roman" w:cs="Times New Roman"/>
          <w:sz w:val="28"/>
          <w:lang w:val="uk-UA"/>
        </w:rPr>
        <w:t>3723 гривні.</w:t>
      </w:r>
      <w:r w:rsidRPr="005C19C0">
        <w:rPr>
          <w:rFonts w:ascii="Times New Roman" w:hAnsi="Times New Roman" w:cs="Times New Roman"/>
          <w:sz w:val="28"/>
        </w:rPr>
        <w:t xml:space="preserve"> </w:t>
      </w:r>
      <w:r w:rsidR="00A15968">
        <w:rPr>
          <w:rFonts w:ascii="Times New Roman" w:hAnsi="Times New Roman" w:cs="Times New Roman"/>
          <w:sz w:val="28"/>
          <w:lang w:val="uk-UA"/>
        </w:rPr>
        <w:t xml:space="preserve"> </w:t>
      </w:r>
      <w:r w:rsidRPr="005C19C0">
        <w:rPr>
          <w:rFonts w:ascii="Times New Roman" w:hAnsi="Times New Roman" w:cs="Times New Roman"/>
          <w:sz w:val="28"/>
        </w:rPr>
        <w:t xml:space="preserve">6 грудня 2016 року Верховною Радою України </w:t>
      </w:r>
      <w:r w:rsidRPr="005C19C0">
        <w:rPr>
          <w:rFonts w:ascii="Times New Roman" w:hAnsi="Times New Roman" w:cs="Times New Roman"/>
          <w:sz w:val="28"/>
          <w:lang w:val="uk-UA"/>
        </w:rPr>
        <w:t xml:space="preserve">прийнятий </w:t>
      </w:r>
      <w:r w:rsidRPr="005C19C0">
        <w:rPr>
          <w:rFonts w:ascii="Times New Roman" w:hAnsi="Times New Roman" w:cs="Times New Roman"/>
          <w:sz w:val="28"/>
        </w:rPr>
        <w:t>Закон № 1774, який містив радикальні нововведення, що відкрили дорогу до позитивних змін у сфері соціально-трудових відносин.</w:t>
      </w:r>
    </w:p>
    <w:p w:rsidR="000C27E0" w:rsidRDefault="000C27E0" w:rsidP="00B53A0C">
      <w:pPr>
        <w:spacing w:after="0" w:line="240" w:lineRule="auto"/>
        <w:ind w:firstLine="708"/>
        <w:jc w:val="both"/>
        <w:rPr>
          <w:rFonts w:ascii="Times New Roman" w:hAnsi="Times New Roman" w:cs="Times New Roman"/>
          <w:sz w:val="28"/>
          <w:lang w:val="uk-UA"/>
        </w:rPr>
      </w:pPr>
      <w:r w:rsidRPr="005C19C0">
        <w:rPr>
          <w:rFonts w:ascii="Times New Roman" w:hAnsi="Times New Roman" w:cs="Times New Roman"/>
          <w:sz w:val="28"/>
          <w:lang w:val="uk-UA"/>
        </w:rPr>
        <w:t xml:space="preserve">Було запроваджено нову методологію визначення мінімальної заробітної плати, що забезпечило повернення мінімальній заробітній платі функції державної гарантії в оплаті праці людей з невисоким рівнем доходів, з одночасним припиненням практики її використання як розрахункової величини для визначення розмірів посадових окладів державних службовців. </w:t>
      </w:r>
      <w:r w:rsidRPr="005C19C0">
        <w:rPr>
          <w:rFonts w:ascii="Times New Roman" w:hAnsi="Times New Roman" w:cs="Times New Roman"/>
          <w:sz w:val="28"/>
        </w:rPr>
        <w:t>Мінімальна заробітна плата була встановлена на рівні повної вартості споживчого кошику, вона зросла вдвічі – до 3200 гривень на місяць з 01.01.2017 року.</w:t>
      </w:r>
    </w:p>
    <w:p w:rsidR="00785090" w:rsidRDefault="000C27E0" w:rsidP="00B53A0C">
      <w:pPr>
        <w:spacing w:after="0" w:line="240" w:lineRule="auto"/>
        <w:ind w:firstLine="696"/>
        <w:jc w:val="both"/>
        <w:rPr>
          <w:sz w:val="28"/>
          <w:lang w:val="uk-UA"/>
        </w:rPr>
      </w:pPr>
      <w:r w:rsidRPr="00EB046D">
        <w:rPr>
          <w:rFonts w:ascii="Times New Roman" w:hAnsi="Times New Roman" w:cs="Times New Roman"/>
          <w:sz w:val="28"/>
          <w:szCs w:val="28"/>
        </w:rPr>
        <w:t xml:space="preserve">Середній розмір допомоги </w:t>
      </w:r>
      <w:r>
        <w:rPr>
          <w:rFonts w:ascii="Times New Roman" w:hAnsi="Times New Roman" w:cs="Times New Roman"/>
          <w:sz w:val="28"/>
          <w:szCs w:val="28"/>
          <w:lang w:val="uk-UA"/>
        </w:rPr>
        <w:t xml:space="preserve"> </w:t>
      </w:r>
      <w:r w:rsidRPr="00EB046D">
        <w:rPr>
          <w:rFonts w:ascii="Times New Roman" w:hAnsi="Times New Roman" w:cs="Times New Roman"/>
          <w:sz w:val="28"/>
          <w:szCs w:val="28"/>
        </w:rPr>
        <w:t xml:space="preserve">малозабезпеченим сім’ям в розрахунку на 1 сім'ю по Недригайлівському району </w:t>
      </w:r>
      <w:r>
        <w:rPr>
          <w:rFonts w:ascii="Times New Roman" w:hAnsi="Times New Roman" w:cs="Times New Roman"/>
          <w:sz w:val="28"/>
          <w:szCs w:val="28"/>
          <w:lang w:val="uk-UA"/>
        </w:rPr>
        <w:t xml:space="preserve"> з 2014 року по 2018 рік зріс в 1,7 рази.</w:t>
      </w:r>
      <w:r w:rsidRPr="00EB046D">
        <w:rPr>
          <w:rFonts w:hint="eastAsia"/>
          <w:sz w:val="28"/>
        </w:rPr>
        <w:t xml:space="preserve"> </w:t>
      </w:r>
    </w:p>
    <w:p w:rsidR="00785090" w:rsidRPr="00785090" w:rsidRDefault="00785090" w:rsidP="00785090">
      <w:pPr>
        <w:spacing w:after="0" w:line="240" w:lineRule="auto"/>
        <w:ind w:firstLine="696"/>
        <w:jc w:val="both"/>
        <w:rPr>
          <w:rFonts w:ascii="Times New Roman" w:hAnsi="Times New Roman" w:cs="Times New Roman"/>
          <w:sz w:val="28"/>
          <w:lang w:val="uk-UA"/>
        </w:rPr>
      </w:pPr>
    </w:p>
    <w:p w:rsidR="00785090" w:rsidRPr="00785090" w:rsidRDefault="0001125B" w:rsidP="007850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       </w:t>
      </w:r>
      <w:r w:rsidR="00785090" w:rsidRPr="00785090">
        <w:rPr>
          <w:rFonts w:ascii="Times New Roman" w:hAnsi="Times New Roman" w:cs="Times New Roman"/>
          <w:b/>
          <w:sz w:val="28"/>
          <w:szCs w:val="28"/>
        </w:rPr>
        <w:t xml:space="preserve">Середній розмір допомоги </w:t>
      </w:r>
    </w:p>
    <w:p w:rsidR="00785090" w:rsidRPr="00785090" w:rsidRDefault="00785090" w:rsidP="00785090">
      <w:pPr>
        <w:spacing w:after="0" w:line="240" w:lineRule="auto"/>
        <w:jc w:val="center"/>
        <w:rPr>
          <w:rFonts w:ascii="Times New Roman" w:hAnsi="Times New Roman" w:cs="Times New Roman"/>
          <w:b/>
          <w:sz w:val="28"/>
          <w:szCs w:val="28"/>
        </w:rPr>
      </w:pPr>
      <w:r w:rsidRPr="00785090">
        <w:rPr>
          <w:rFonts w:ascii="Times New Roman" w:hAnsi="Times New Roman" w:cs="Times New Roman"/>
          <w:b/>
          <w:sz w:val="28"/>
          <w:szCs w:val="28"/>
        </w:rPr>
        <w:t xml:space="preserve">малозабезпеченим сім’ям в розрахунку на 1 сім'ю по Недригайлівському району </w:t>
      </w:r>
    </w:p>
    <w:p w:rsidR="00785090" w:rsidRPr="00785090" w:rsidRDefault="00785090" w:rsidP="00785090">
      <w:pPr>
        <w:spacing w:after="0" w:line="240" w:lineRule="auto"/>
        <w:jc w:val="right"/>
        <w:rPr>
          <w:rFonts w:ascii="Times New Roman" w:hAnsi="Times New Roman" w:cs="Times New Roman"/>
          <w:sz w:val="28"/>
          <w:szCs w:val="28"/>
        </w:rPr>
      </w:pPr>
      <w:r w:rsidRPr="00785090">
        <w:rPr>
          <w:rFonts w:ascii="Times New Roman" w:hAnsi="Times New Roman" w:cs="Times New Roman"/>
          <w:sz w:val="28"/>
          <w:szCs w:val="28"/>
        </w:rPr>
        <w:t>(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2"/>
        <w:gridCol w:w="1913"/>
        <w:gridCol w:w="1913"/>
        <w:gridCol w:w="1913"/>
        <w:gridCol w:w="1920"/>
      </w:tblGrid>
      <w:tr w:rsidR="00785090" w:rsidRPr="00785090" w:rsidTr="00DE414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2014</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2015</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2016</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2017</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10 міс.2018</w:t>
            </w:r>
          </w:p>
        </w:tc>
      </w:tr>
      <w:tr w:rsidR="00785090" w:rsidRPr="00785090" w:rsidTr="00DE414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1878,80</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1786,00</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1968,10</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2494,82</w:t>
            </w:r>
          </w:p>
        </w:tc>
        <w:tc>
          <w:tcPr>
            <w:tcW w:w="1971" w:type="dxa"/>
          </w:tcPr>
          <w:p w:rsidR="00785090" w:rsidRPr="00785090" w:rsidRDefault="00785090" w:rsidP="00785090">
            <w:pPr>
              <w:spacing w:after="0" w:line="240" w:lineRule="auto"/>
              <w:jc w:val="center"/>
              <w:rPr>
                <w:rFonts w:ascii="Times New Roman" w:hAnsi="Times New Roman" w:cs="Times New Roman"/>
                <w:sz w:val="28"/>
                <w:szCs w:val="28"/>
              </w:rPr>
            </w:pPr>
            <w:r w:rsidRPr="00785090">
              <w:rPr>
                <w:rFonts w:ascii="Times New Roman" w:hAnsi="Times New Roman" w:cs="Times New Roman"/>
                <w:sz w:val="28"/>
                <w:szCs w:val="28"/>
              </w:rPr>
              <w:t>3169,04</w:t>
            </w:r>
          </w:p>
        </w:tc>
      </w:tr>
    </w:tbl>
    <w:p w:rsidR="00785090" w:rsidRPr="00785090" w:rsidRDefault="00785090" w:rsidP="00785090">
      <w:pPr>
        <w:spacing w:after="0" w:line="240" w:lineRule="auto"/>
        <w:jc w:val="both"/>
        <w:rPr>
          <w:rFonts w:ascii="Times New Roman" w:hAnsi="Times New Roman" w:cs="Times New Roman"/>
          <w:sz w:val="28"/>
          <w:szCs w:val="28"/>
        </w:rPr>
      </w:pPr>
    </w:p>
    <w:p w:rsidR="000C27E0" w:rsidRPr="00785090" w:rsidRDefault="000C27E0" w:rsidP="00B53A0C">
      <w:pPr>
        <w:spacing w:after="0" w:line="240" w:lineRule="auto"/>
        <w:ind w:firstLine="696"/>
        <w:jc w:val="both"/>
        <w:rPr>
          <w:rFonts w:ascii="Times New Roman" w:eastAsia="Arial Unicode MS" w:hAnsi="Times New Roman" w:cs="Times New Roman"/>
          <w:b/>
          <w:bCs/>
          <w:sz w:val="28"/>
          <w:lang w:val="uk-UA"/>
        </w:rPr>
      </w:pPr>
      <w:r w:rsidRPr="00785090">
        <w:rPr>
          <w:rFonts w:ascii="Times New Roman" w:hAnsi="Times New Roman" w:cs="Times New Roman"/>
          <w:sz w:val="28"/>
          <w:lang w:val="uk-UA"/>
        </w:rPr>
        <w:t>Прийняті у 2016 році рішення</w:t>
      </w:r>
      <w:r w:rsidRPr="00EB046D">
        <w:rPr>
          <w:rFonts w:ascii="Times New Roman" w:hAnsi="Times New Roman" w:cs="Times New Roman"/>
          <w:sz w:val="28"/>
          <w:lang w:val="uk-UA"/>
        </w:rPr>
        <w:t xml:space="preserve"> Уряду</w:t>
      </w:r>
      <w:r w:rsidRPr="00785090">
        <w:rPr>
          <w:rFonts w:ascii="Times New Roman" w:hAnsi="Times New Roman" w:cs="Times New Roman"/>
          <w:sz w:val="28"/>
          <w:lang w:val="uk-UA"/>
        </w:rPr>
        <w:t xml:space="preserve"> були спрямовані на оптимізацію програми</w:t>
      </w:r>
      <w:r w:rsidRPr="00EB046D">
        <w:rPr>
          <w:rStyle w:val="apple-converted-space"/>
          <w:rFonts w:ascii="Times New Roman" w:hAnsi="Times New Roman" w:cs="Times New Roman"/>
          <w:color w:val="1D1D1B"/>
          <w:sz w:val="28"/>
          <w:szCs w:val="32"/>
        </w:rPr>
        <w:t> </w:t>
      </w:r>
      <w:r w:rsidRPr="00785090">
        <w:rPr>
          <w:rStyle w:val="a8"/>
          <w:rFonts w:ascii="Times New Roman" w:hAnsi="Times New Roman" w:cs="Times New Roman"/>
          <w:b w:val="0"/>
          <w:bCs w:val="0"/>
          <w:color w:val="1D1D1B"/>
          <w:sz w:val="28"/>
          <w:szCs w:val="32"/>
          <w:bdr w:val="none" w:sz="0" w:space="0" w:color="auto" w:frame="1"/>
          <w:lang w:val="uk-UA"/>
        </w:rPr>
        <w:t>житлових субсидій, своєчасність їх призначення.</w:t>
      </w:r>
    </w:p>
    <w:p w:rsidR="000C27E0" w:rsidRPr="00213472" w:rsidRDefault="000C27E0" w:rsidP="000C27E0">
      <w:pPr>
        <w:spacing w:after="0" w:line="240" w:lineRule="auto"/>
        <w:ind w:firstLine="696"/>
        <w:jc w:val="both"/>
        <w:rPr>
          <w:rFonts w:ascii="Times New Roman" w:hAnsi="Times New Roman" w:cs="Times New Roman"/>
          <w:sz w:val="28"/>
          <w:lang w:val="uk-UA"/>
        </w:rPr>
      </w:pPr>
      <w:r w:rsidRPr="00EB046D">
        <w:rPr>
          <w:rFonts w:ascii="Times New Roman" w:hAnsi="Times New Roman" w:cs="Times New Roman"/>
          <w:sz w:val="28"/>
        </w:rPr>
        <w:t>З метою удосконалення програми житлових субсидій Уряд України провів заходи, спрямовані на удосконалення програми надання житлових субсидій, зокрема монетизацію залишків невикористаних субсидій на оплату опалення</w:t>
      </w:r>
      <w:r w:rsidRPr="00EB046D">
        <w:rPr>
          <w:rStyle w:val="apple-converted-space"/>
          <w:rFonts w:ascii="Times New Roman" w:hAnsi="Times New Roman" w:cs="Times New Roman"/>
          <w:color w:val="1D1D1B"/>
          <w:sz w:val="28"/>
          <w:szCs w:val="32"/>
        </w:rPr>
        <w:t> </w:t>
      </w:r>
      <w:r w:rsidRPr="00EB046D">
        <w:rPr>
          <w:rStyle w:val="a9"/>
          <w:rFonts w:ascii="Times New Roman" w:hAnsi="Times New Roman" w:cs="Times New Roman"/>
          <w:color w:val="1D1D1B"/>
          <w:sz w:val="28"/>
          <w:szCs w:val="32"/>
          <w:bdr w:val="none" w:sz="0" w:space="0" w:color="auto" w:frame="1"/>
        </w:rPr>
        <w:t>(в обсягах до 100 куб. м природного газу та 150 кВт•г електроенергії)</w:t>
      </w:r>
      <w:r w:rsidRPr="00EB046D">
        <w:rPr>
          <w:rFonts w:ascii="Times New Roman" w:hAnsi="Times New Roman" w:cs="Times New Roman"/>
          <w:sz w:val="28"/>
        </w:rPr>
        <w:t>, що виникли у зв’язку з економним споживанням природного</w:t>
      </w:r>
      <w:r w:rsidR="00213472">
        <w:rPr>
          <w:rFonts w:ascii="Times New Roman" w:hAnsi="Times New Roman" w:cs="Times New Roman"/>
          <w:sz w:val="28"/>
        </w:rPr>
        <w:t xml:space="preserve"> газу та електроенергії та інш</w:t>
      </w:r>
      <w:r w:rsidR="00213472">
        <w:rPr>
          <w:rFonts w:ascii="Times New Roman" w:hAnsi="Times New Roman" w:cs="Times New Roman"/>
          <w:sz w:val="28"/>
          <w:lang w:val="uk-UA"/>
        </w:rPr>
        <w:t>их комунальних послуг.</w:t>
      </w:r>
    </w:p>
    <w:p w:rsidR="000C27E0" w:rsidRDefault="000C27E0" w:rsidP="000C27E0">
      <w:pPr>
        <w:spacing w:after="0" w:line="240" w:lineRule="auto"/>
        <w:ind w:firstLine="696"/>
        <w:jc w:val="both"/>
        <w:rPr>
          <w:rFonts w:ascii="Times New Roman" w:hAnsi="Times New Roman" w:cs="Times New Roman"/>
          <w:color w:val="000000"/>
          <w:sz w:val="28"/>
          <w:szCs w:val="36"/>
          <w:lang w:val="uk-UA"/>
        </w:rPr>
      </w:pPr>
      <w:r w:rsidRPr="00EB046D">
        <w:rPr>
          <w:rFonts w:ascii="Times New Roman" w:hAnsi="Times New Roman" w:cs="Times New Roman"/>
          <w:sz w:val="28"/>
          <w:lang w:val="uk-UA"/>
        </w:rPr>
        <w:t xml:space="preserve">У 2017 році </w:t>
      </w:r>
      <w:r w:rsidRPr="00EB046D">
        <w:rPr>
          <w:rFonts w:ascii="Times New Roman" w:hAnsi="Times New Roman" w:cs="Times New Roman"/>
          <w:color w:val="000000"/>
          <w:sz w:val="28"/>
          <w:szCs w:val="36"/>
          <w:lang w:val="uk-UA"/>
        </w:rPr>
        <w:t>з заявами щодо виплати частин невикористаних субсидій до управління праці та соціального захисту населення звернулись 3785 осіб та отримали відшкодування на загальну суму 2384,8 тис.грн.., у 2018 році - 1726   осіб на загальну суму 926,3 тис.грн.</w:t>
      </w:r>
    </w:p>
    <w:p w:rsidR="00112A16" w:rsidRDefault="00112A16" w:rsidP="00D300CD">
      <w:pPr>
        <w:pStyle w:val="21"/>
        <w:spacing w:line="240" w:lineRule="auto"/>
        <w:ind w:firstLine="851"/>
        <w:rPr>
          <w:b w:val="0"/>
          <w:sz w:val="28"/>
          <w:szCs w:val="28"/>
          <w:lang w:val="uk-UA"/>
        </w:rPr>
      </w:pPr>
      <w:r>
        <w:rPr>
          <w:b w:val="0"/>
          <w:sz w:val="28"/>
          <w:szCs w:val="28"/>
          <w:lang w:val="uk-UA"/>
        </w:rPr>
        <w:t xml:space="preserve">Відбулися зміни в культурній галузі району. В кінці 2014 року присвоєно звання «народний» трьом аматорським колективам, яких на сьогодні налічується 14. Протягом 2015-2017 року поліпшилася матеріально-технічна база закладів культури району з різних джерел фінансування і ця </w:t>
      </w:r>
      <w:r>
        <w:rPr>
          <w:b w:val="0"/>
          <w:sz w:val="28"/>
          <w:szCs w:val="28"/>
          <w:lang w:val="uk-UA"/>
        </w:rPr>
        <w:lastRenderedPageBreak/>
        <w:t xml:space="preserve">сума склала </w:t>
      </w:r>
      <w:r w:rsidR="00B14FDF">
        <w:rPr>
          <w:b w:val="0"/>
          <w:sz w:val="28"/>
          <w:szCs w:val="28"/>
          <w:lang w:val="uk-UA"/>
        </w:rPr>
        <w:t xml:space="preserve">983,1 тис. </w:t>
      </w:r>
      <w:r>
        <w:rPr>
          <w:b w:val="0"/>
          <w:sz w:val="28"/>
          <w:szCs w:val="28"/>
          <w:lang w:val="uk-UA"/>
        </w:rPr>
        <w:t>гри</w:t>
      </w:r>
      <w:r w:rsidR="00CE2AC9">
        <w:rPr>
          <w:b w:val="0"/>
          <w:sz w:val="28"/>
          <w:szCs w:val="28"/>
          <w:lang w:val="uk-UA"/>
        </w:rPr>
        <w:t>вень, з них 590</w:t>
      </w:r>
      <w:r w:rsidR="00D81641">
        <w:rPr>
          <w:b w:val="0"/>
          <w:sz w:val="28"/>
          <w:szCs w:val="28"/>
          <w:lang w:val="uk-UA"/>
        </w:rPr>
        <w:t>,</w:t>
      </w:r>
      <w:r w:rsidR="00CE2AC9">
        <w:rPr>
          <w:b w:val="0"/>
          <w:sz w:val="28"/>
          <w:szCs w:val="28"/>
          <w:lang w:val="uk-UA"/>
        </w:rPr>
        <w:t xml:space="preserve">1 тис. гривень – ремонт даху Тернівської дитячої школи мистецтв. </w:t>
      </w:r>
      <w:r w:rsidR="00B14FDF">
        <w:rPr>
          <w:b w:val="0"/>
          <w:sz w:val="28"/>
          <w:szCs w:val="28"/>
          <w:lang w:val="uk-UA"/>
        </w:rPr>
        <w:t xml:space="preserve"> В 2018 році для закладів культури та  поліпшення їх матеріального стану виділено коштів різних </w:t>
      </w:r>
      <w:r w:rsidR="00D81641">
        <w:rPr>
          <w:b w:val="0"/>
          <w:sz w:val="28"/>
          <w:szCs w:val="28"/>
          <w:lang w:val="uk-UA"/>
        </w:rPr>
        <w:t>джерел фінансування в сумі 260,</w:t>
      </w:r>
      <w:r w:rsidR="00B14FDF">
        <w:rPr>
          <w:b w:val="0"/>
          <w:sz w:val="28"/>
          <w:szCs w:val="28"/>
          <w:lang w:val="uk-UA"/>
        </w:rPr>
        <w:t>0 тис</w:t>
      </w:r>
      <w:r w:rsidR="00D81641">
        <w:rPr>
          <w:b w:val="0"/>
          <w:sz w:val="28"/>
          <w:szCs w:val="28"/>
          <w:lang w:val="uk-UA"/>
        </w:rPr>
        <w:t>.</w:t>
      </w:r>
      <w:r w:rsidR="00B14FDF">
        <w:rPr>
          <w:b w:val="0"/>
          <w:sz w:val="28"/>
          <w:szCs w:val="28"/>
          <w:lang w:val="uk-UA"/>
        </w:rPr>
        <w:t xml:space="preserve"> гривень, з них 100 тис. гривень – ремонт Курманівського сільського будинку культури.</w:t>
      </w:r>
    </w:p>
    <w:p w:rsidR="00E65008" w:rsidRDefault="00A011B0" w:rsidP="00A011B0">
      <w:pPr>
        <w:pStyle w:val="21"/>
        <w:spacing w:line="240" w:lineRule="auto"/>
        <w:ind w:firstLine="851"/>
        <w:rPr>
          <w:b w:val="0"/>
          <w:sz w:val="28"/>
          <w:szCs w:val="28"/>
          <w:lang w:val="uk-UA"/>
        </w:rPr>
      </w:pPr>
      <w:r>
        <w:rPr>
          <w:b w:val="0"/>
          <w:sz w:val="28"/>
          <w:szCs w:val="28"/>
          <w:lang w:val="uk-UA"/>
        </w:rPr>
        <w:t>Протягом 2018 року поліпшилася робота в галу</w:t>
      </w:r>
      <w:r w:rsidR="00D81641">
        <w:rPr>
          <w:b w:val="0"/>
          <w:sz w:val="28"/>
          <w:szCs w:val="28"/>
          <w:lang w:val="uk-UA"/>
        </w:rPr>
        <w:t>зі</w:t>
      </w:r>
      <w:r>
        <w:rPr>
          <w:b w:val="0"/>
          <w:sz w:val="28"/>
          <w:szCs w:val="28"/>
          <w:lang w:val="uk-UA"/>
        </w:rPr>
        <w:t xml:space="preserve"> фізичної культури і спорту та молодіжної політики. За рахунок збільшення фінансування спортивної галузі в 4,4 рази вдалося збільшити кількість проведених заходів з 10 в 2014 до 30 в 2018, збільшено відсоток охоплення населення до занять фізичною культурою і спортом з 45 до 62.</w:t>
      </w:r>
    </w:p>
    <w:p w:rsidR="00A011B0" w:rsidRDefault="00A011B0" w:rsidP="00482219">
      <w:pPr>
        <w:pStyle w:val="21"/>
        <w:spacing w:line="240" w:lineRule="auto"/>
        <w:ind w:firstLine="851"/>
        <w:rPr>
          <w:b w:val="0"/>
          <w:sz w:val="28"/>
          <w:szCs w:val="28"/>
          <w:lang w:val="uk-UA"/>
        </w:rPr>
      </w:pPr>
      <w:r>
        <w:rPr>
          <w:b w:val="0"/>
          <w:sz w:val="28"/>
          <w:szCs w:val="28"/>
          <w:lang w:val="uk-UA"/>
        </w:rPr>
        <w:t xml:space="preserve">Одним з наймасовіших та найцікавіших для молоді заходом на Недригайлівщині став туристичний зліт молоді. В 2017 та 2018 роках даний захід був проведений на обласному рівні із залученням коштів обласного </w:t>
      </w:r>
      <w:r w:rsidR="00FB7F37">
        <w:rPr>
          <w:b w:val="0"/>
          <w:sz w:val="28"/>
          <w:szCs w:val="28"/>
          <w:lang w:val="uk-UA"/>
        </w:rPr>
        <w:t>бюджету  сумі</w:t>
      </w:r>
      <w:r>
        <w:rPr>
          <w:b w:val="0"/>
          <w:sz w:val="28"/>
          <w:szCs w:val="28"/>
          <w:lang w:val="uk-UA"/>
        </w:rPr>
        <w:t>: 2017 рік – 25 тис. гривень, 2018 – 20 тис. гривень</w:t>
      </w:r>
      <w:r w:rsidR="00781F79">
        <w:rPr>
          <w:b w:val="0"/>
          <w:sz w:val="28"/>
          <w:szCs w:val="28"/>
          <w:lang w:val="uk-UA"/>
        </w:rPr>
        <w:t>. Чисельність населення залученого до виконання районної цільової програми «Молодь Недригайлівщини» зріс на 57 відсотків.</w:t>
      </w:r>
    </w:p>
    <w:p w:rsidR="00FB7F37" w:rsidRPr="00FB7F37" w:rsidRDefault="00FB7F37" w:rsidP="00482219">
      <w:pPr>
        <w:pStyle w:val="HTML"/>
        <w:shd w:val="clear" w:color="auto" w:fill="FFFFFF"/>
        <w:ind w:firstLine="851"/>
        <w:jc w:val="both"/>
        <w:rPr>
          <w:rFonts w:ascii="Times New Roman" w:hAnsi="Times New Roman" w:cs="Times New Roman"/>
          <w:color w:val="000000"/>
          <w:sz w:val="28"/>
          <w:szCs w:val="28"/>
          <w:lang w:val="uk-UA"/>
        </w:rPr>
      </w:pPr>
      <w:r w:rsidRPr="00482219">
        <w:rPr>
          <w:rFonts w:ascii="Times New Roman" w:hAnsi="Times New Roman" w:cs="Times New Roman"/>
          <w:sz w:val="28"/>
          <w:szCs w:val="28"/>
          <w:lang w:val="uk-UA"/>
        </w:rPr>
        <w:t xml:space="preserve">2017-2018 роки стали «урожайними» для району. За ці роки вдалося крім вище переліченого відкрити в с. Хоружівці </w:t>
      </w:r>
      <w:r w:rsidR="00CE42AC" w:rsidRPr="00482219">
        <w:rPr>
          <w:rFonts w:ascii="Times New Roman" w:hAnsi="Times New Roman" w:cs="Times New Roman"/>
          <w:sz w:val="28"/>
          <w:szCs w:val="28"/>
          <w:lang w:val="uk-UA"/>
        </w:rPr>
        <w:t>3</w:t>
      </w:r>
      <w:r w:rsidRPr="00482219">
        <w:rPr>
          <w:rFonts w:ascii="Times New Roman" w:hAnsi="Times New Roman" w:cs="Times New Roman"/>
          <w:sz w:val="28"/>
          <w:szCs w:val="28"/>
          <w:lang w:val="uk-UA"/>
        </w:rPr>
        <w:t xml:space="preserve"> заклади </w:t>
      </w:r>
      <w:r w:rsidR="00482219">
        <w:rPr>
          <w:rFonts w:ascii="Times New Roman" w:hAnsi="Times New Roman" w:cs="Times New Roman"/>
          <w:sz w:val="28"/>
          <w:szCs w:val="28"/>
          <w:lang w:val="uk-UA"/>
        </w:rPr>
        <w:t>: к</w:t>
      </w:r>
      <w:r w:rsidRPr="00FB7F37">
        <w:rPr>
          <w:rFonts w:ascii="Times New Roman" w:hAnsi="Times New Roman" w:cs="Times New Roman"/>
          <w:color w:val="000000"/>
          <w:sz w:val="28"/>
          <w:szCs w:val="28"/>
          <w:lang w:val="uk-UA"/>
        </w:rPr>
        <w:t>омунальний заклад Сум</w:t>
      </w:r>
      <w:r w:rsidR="00482219">
        <w:rPr>
          <w:rFonts w:ascii="Times New Roman" w:hAnsi="Times New Roman" w:cs="Times New Roman"/>
          <w:color w:val="000000"/>
          <w:sz w:val="28"/>
          <w:szCs w:val="28"/>
          <w:lang w:val="uk-UA"/>
        </w:rPr>
        <w:t>ської обласної ради - Хоружівський</w:t>
      </w:r>
      <w:r w:rsidRPr="00FB7F37">
        <w:rPr>
          <w:rFonts w:ascii="Times New Roman" w:hAnsi="Times New Roman" w:cs="Times New Roman"/>
          <w:color w:val="000000"/>
          <w:sz w:val="28"/>
          <w:szCs w:val="28"/>
          <w:lang w:val="uk-UA"/>
        </w:rPr>
        <w:t xml:space="preserve"> центр соціально-психологічної реабілітації дітей області, </w:t>
      </w:r>
      <w:r w:rsidR="00482219">
        <w:rPr>
          <w:rFonts w:ascii="Times New Roman" w:hAnsi="Times New Roman" w:cs="Times New Roman"/>
          <w:color w:val="000000"/>
          <w:sz w:val="28"/>
          <w:szCs w:val="28"/>
          <w:lang w:val="uk-UA"/>
        </w:rPr>
        <w:t>ц</w:t>
      </w:r>
      <w:r w:rsidRPr="00FB7F37">
        <w:rPr>
          <w:rFonts w:ascii="Times New Roman" w:hAnsi="Times New Roman" w:cs="Times New Roman"/>
          <w:color w:val="000000"/>
          <w:sz w:val="28"/>
          <w:szCs w:val="28"/>
          <w:lang w:val="uk-UA"/>
        </w:rPr>
        <w:t>ентр сприяння розвитку об’єднаних територіальних громад Державної служби зайнятості у Сумській області на базі навчального відділення Державного навчального закладу «Сумський центр професійно-технічної освіти Державної служби зайнятості»</w:t>
      </w:r>
      <w:r w:rsidR="00CE42AC">
        <w:rPr>
          <w:rFonts w:ascii="Times New Roman" w:hAnsi="Times New Roman" w:cs="Times New Roman"/>
          <w:color w:val="000000"/>
          <w:sz w:val="28"/>
          <w:szCs w:val="28"/>
          <w:lang w:val="uk-UA"/>
        </w:rPr>
        <w:t xml:space="preserve"> </w:t>
      </w:r>
      <w:r w:rsidR="00482219">
        <w:rPr>
          <w:rFonts w:ascii="Times New Roman" w:hAnsi="Times New Roman" w:cs="Times New Roman"/>
          <w:color w:val="000000"/>
          <w:sz w:val="28"/>
          <w:szCs w:val="28"/>
          <w:lang w:val="uk-UA"/>
        </w:rPr>
        <w:t>та п</w:t>
      </w:r>
      <w:r w:rsidR="00CE42AC" w:rsidRPr="00CE42AC">
        <w:rPr>
          <w:rFonts w:ascii="Times New Roman" w:hAnsi="Times New Roman" w:cs="Times New Roman"/>
          <w:color w:val="000000"/>
          <w:sz w:val="28"/>
          <w:szCs w:val="28"/>
          <w:lang w:val="uk-UA"/>
        </w:rPr>
        <w:t>оліцейську станцію Недригайлівського ВП Роменського ВП ГУНП України у Сумській області</w:t>
      </w:r>
      <w:r w:rsidR="0071654C">
        <w:rPr>
          <w:rFonts w:ascii="Times New Roman" w:hAnsi="Times New Roman" w:cs="Times New Roman"/>
          <w:color w:val="000000"/>
          <w:sz w:val="28"/>
          <w:szCs w:val="28"/>
          <w:lang w:val="uk-UA"/>
        </w:rPr>
        <w:t>.</w:t>
      </w:r>
    </w:p>
    <w:p w:rsidR="00FB7F37" w:rsidRDefault="00FB7F37" w:rsidP="00FB7F37">
      <w:pPr>
        <w:pStyle w:val="HTML"/>
        <w:shd w:val="clear" w:color="auto" w:fill="FFFFFF"/>
        <w:ind w:firstLine="851"/>
        <w:jc w:val="both"/>
        <w:rPr>
          <w:rFonts w:ascii="Times New Roman" w:hAnsi="Times New Roman" w:cs="Times New Roman"/>
          <w:color w:val="000000"/>
          <w:sz w:val="28"/>
          <w:szCs w:val="28"/>
          <w:lang w:val="uk-UA"/>
        </w:rPr>
      </w:pPr>
      <w:r w:rsidRPr="00FB7F37">
        <w:rPr>
          <w:rFonts w:ascii="Times New Roman" w:hAnsi="Times New Roman" w:cs="Times New Roman"/>
          <w:color w:val="000000"/>
          <w:sz w:val="28"/>
          <w:szCs w:val="28"/>
          <w:lang w:val="uk-UA"/>
        </w:rPr>
        <w:t xml:space="preserve">Розпочата робота по </w:t>
      </w:r>
      <w:r w:rsidR="00F329C0">
        <w:rPr>
          <w:rFonts w:ascii="Times New Roman" w:hAnsi="Times New Roman" w:cs="Times New Roman"/>
          <w:color w:val="000000"/>
          <w:sz w:val="28"/>
          <w:szCs w:val="28"/>
          <w:lang w:val="uk-UA"/>
        </w:rPr>
        <w:t>проекту «Б</w:t>
      </w:r>
      <w:r w:rsidRPr="00FB7F37">
        <w:rPr>
          <w:rFonts w:ascii="Times New Roman" w:hAnsi="Times New Roman" w:cs="Times New Roman"/>
          <w:color w:val="000000"/>
          <w:sz w:val="28"/>
          <w:szCs w:val="28"/>
          <w:lang w:val="uk-UA"/>
        </w:rPr>
        <w:t>удівництв</w:t>
      </w:r>
      <w:r w:rsidR="00F329C0">
        <w:rPr>
          <w:rFonts w:ascii="Times New Roman" w:hAnsi="Times New Roman" w:cs="Times New Roman"/>
          <w:color w:val="000000"/>
          <w:sz w:val="28"/>
          <w:szCs w:val="28"/>
          <w:lang w:val="uk-UA"/>
        </w:rPr>
        <w:t>о</w:t>
      </w:r>
      <w:r w:rsidRPr="00FB7F37">
        <w:rPr>
          <w:rFonts w:ascii="Times New Roman" w:hAnsi="Times New Roman" w:cs="Times New Roman"/>
          <w:color w:val="000000"/>
          <w:sz w:val="28"/>
          <w:szCs w:val="28"/>
          <w:lang w:val="uk-UA"/>
        </w:rPr>
        <w:t xml:space="preserve"> нової амбулаторії п</w:t>
      </w:r>
      <w:r w:rsidR="00F329C0">
        <w:rPr>
          <w:rFonts w:ascii="Times New Roman" w:hAnsi="Times New Roman" w:cs="Times New Roman"/>
          <w:color w:val="000000"/>
          <w:sz w:val="28"/>
          <w:szCs w:val="28"/>
          <w:lang w:val="uk-UA"/>
        </w:rPr>
        <w:t>е</w:t>
      </w:r>
      <w:r w:rsidRPr="00FB7F37">
        <w:rPr>
          <w:rFonts w:ascii="Times New Roman" w:hAnsi="Times New Roman" w:cs="Times New Roman"/>
          <w:color w:val="000000"/>
          <w:sz w:val="28"/>
          <w:szCs w:val="28"/>
          <w:lang w:val="uk-UA"/>
        </w:rPr>
        <w:t>рвинної медичної допомоги</w:t>
      </w:r>
      <w:r w:rsidR="00F329C0">
        <w:rPr>
          <w:rFonts w:ascii="Times New Roman" w:hAnsi="Times New Roman" w:cs="Times New Roman"/>
          <w:color w:val="000000"/>
          <w:sz w:val="28"/>
          <w:szCs w:val="28"/>
          <w:lang w:val="uk-UA"/>
        </w:rPr>
        <w:t>»</w:t>
      </w:r>
      <w:r w:rsidRPr="00FB7F37">
        <w:rPr>
          <w:rFonts w:ascii="Times New Roman" w:hAnsi="Times New Roman" w:cs="Times New Roman"/>
          <w:color w:val="000000"/>
          <w:sz w:val="28"/>
          <w:szCs w:val="28"/>
          <w:lang w:val="uk-UA"/>
        </w:rPr>
        <w:t xml:space="preserve"> в с. Коровинці</w:t>
      </w:r>
      <w:r w:rsidR="00F329C0">
        <w:rPr>
          <w:rFonts w:ascii="Times New Roman" w:hAnsi="Times New Roman" w:cs="Times New Roman"/>
          <w:color w:val="000000"/>
          <w:sz w:val="28"/>
          <w:szCs w:val="28"/>
          <w:lang w:val="uk-UA"/>
        </w:rPr>
        <w:t>.</w:t>
      </w:r>
      <w:r w:rsidR="005A17B4">
        <w:rPr>
          <w:rFonts w:ascii="Times New Roman" w:hAnsi="Times New Roman" w:cs="Times New Roman"/>
          <w:color w:val="000000"/>
          <w:sz w:val="28"/>
          <w:szCs w:val="28"/>
          <w:lang w:val="uk-UA"/>
        </w:rPr>
        <w:t xml:space="preserve"> Також в планах Корови</w:t>
      </w:r>
      <w:r w:rsidR="002A4CD7">
        <w:rPr>
          <w:rFonts w:ascii="Times New Roman" w:hAnsi="Times New Roman" w:cs="Times New Roman"/>
          <w:color w:val="000000"/>
          <w:sz w:val="28"/>
          <w:szCs w:val="28"/>
          <w:lang w:val="uk-UA"/>
        </w:rPr>
        <w:t>н</w:t>
      </w:r>
      <w:r w:rsidR="005A17B4">
        <w:rPr>
          <w:rFonts w:ascii="Times New Roman" w:hAnsi="Times New Roman" w:cs="Times New Roman"/>
          <w:color w:val="000000"/>
          <w:sz w:val="28"/>
          <w:szCs w:val="28"/>
          <w:lang w:val="uk-UA"/>
        </w:rPr>
        <w:t>с</w:t>
      </w:r>
      <w:r w:rsidR="002A4CD7">
        <w:rPr>
          <w:rFonts w:ascii="Times New Roman" w:hAnsi="Times New Roman" w:cs="Times New Roman"/>
          <w:color w:val="000000"/>
          <w:sz w:val="28"/>
          <w:szCs w:val="28"/>
          <w:lang w:val="uk-UA"/>
        </w:rPr>
        <w:t>ь</w:t>
      </w:r>
      <w:r w:rsidR="005A17B4">
        <w:rPr>
          <w:rFonts w:ascii="Times New Roman" w:hAnsi="Times New Roman" w:cs="Times New Roman"/>
          <w:color w:val="000000"/>
          <w:sz w:val="28"/>
          <w:szCs w:val="28"/>
          <w:lang w:val="uk-UA"/>
        </w:rPr>
        <w:t>к</w:t>
      </w:r>
      <w:r w:rsidR="002A4CD7">
        <w:rPr>
          <w:rFonts w:ascii="Times New Roman" w:hAnsi="Times New Roman" w:cs="Times New Roman"/>
          <w:color w:val="000000"/>
          <w:sz w:val="28"/>
          <w:szCs w:val="28"/>
          <w:lang w:val="uk-UA"/>
        </w:rPr>
        <w:t xml:space="preserve">ої ОТГ реалізація проекту по </w:t>
      </w:r>
      <w:r w:rsidR="00482219">
        <w:rPr>
          <w:rFonts w:ascii="Times New Roman" w:hAnsi="Times New Roman" w:cs="Times New Roman"/>
          <w:color w:val="000000"/>
          <w:sz w:val="28"/>
          <w:szCs w:val="28"/>
          <w:lang w:val="uk-UA"/>
        </w:rPr>
        <w:t>р</w:t>
      </w:r>
      <w:r w:rsidR="002A4CD7">
        <w:rPr>
          <w:rFonts w:ascii="Times New Roman" w:hAnsi="Times New Roman" w:cs="Times New Roman"/>
          <w:color w:val="000000"/>
          <w:sz w:val="28"/>
          <w:szCs w:val="28"/>
          <w:lang w:val="uk-UA"/>
        </w:rPr>
        <w:t>еконструкції покрівлі Коро</w:t>
      </w:r>
      <w:r w:rsidR="00482219">
        <w:rPr>
          <w:rFonts w:ascii="Times New Roman" w:hAnsi="Times New Roman" w:cs="Times New Roman"/>
          <w:color w:val="000000"/>
          <w:sz w:val="28"/>
          <w:szCs w:val="28"/>
          <w:lang w:val="uk-UA"/>
        </w:rPr>
        <w:t>ви</w:t>
      </w:r>
      <w:r w:rsidR="002A4CD7">
        <w:rPr>
          <w:rFonts w:ascii="Times New Roman" w:hAnsi="Times New Roman" w:cs="Times New Roman"/>
          <w:color w:val="000000"/>
          <w:sz w:val="28"/>
          <w:szCs w:val="28"/>
          <w:lang w:val="uk-UA"/>
        </w:rPr>
        <w:t>н</w:t>
      </w:r>
      <w:r w:rsidR="00482219">
        <w:rPr>
          <w:rFonts w:ascii="Times New Roman" w:hAnsi="Times New Roman" w:cs="Times New Roman"/>
          <w:color w:val="000000"/>
          <w:sz w:val="28"/>
          <w:szCs w:val="28"/>
          <w:lang w:val="uk-UA"/>
        </w:rPr>
        <w:t>с</w:t>
      </w:r>
      <w:r w:rsidR="002A4CD7">
        <w:rPr>
          <w:rFonts w:ascii="Times New Roman" w:hAnsi="Times New Roman" w:cs="Times New Roman"/>
          <w:color w:val="000000"/>
          <w:sz w:val="28"/>
          <w:szCs w:val="28"/>
          <w:lang w:val="uk-UA"/>
        </w:rPr>
        <w:t>ь</w:t>
      </w:r>
      <w:r w:rsidR="00482219">
        <w:rPr>
          <w:rFonts w:ascii="Times New Roman" w:hAnsi="Times New Roman" w:cs="Times New Roman"/>
          <w:color w:val="000000"/>
          <w:sz w:val="28"/>
          <w:szCs w:val="28"/>
          <w:lang w:val="uk-UA"/>
        </w:rPr>
        <w:t>к</w:t>
      </w:r>
      <w:r w:rsidR="002A4CD7">
        <w:rPr>
          <w:rFonts w:ascii="Times New Roman" w:hAnsi="Times New Roman" w:cs="Times New Roman"/>
          <w:color w:val="000000"/>
          <w:sz w:val="28"/>
          <w:szCs w:val="28"/>
          <w:lang w:val="uk-UA"/>
        </w:rPr>
        <w:t>ої ЗОШ І-ІІІ ст. (3,2 млн</w:t>
      </w:r>
      <w:r w:rsidR="005A17B4">
        <w:rPr>
          <w:rFonts w:ascii="Times New Roman" w:hAnsi="Times New Roman" w:cs="Times New Roman"/>
          <w:color w:val="000000"/>
          <w:sz w:val="28"/>
          <w:szCs w:val="28"/>
          <w:lang w:val="uk-UA"/>
        </w:rPr>
        <w:t>.</w:t>
      </w:r>
      <w:r w:rsidR="002A4CD7">
        <w:rPr>
          <w:rFonts w:ascii="Times New Roman" w:hAnsi="Times New Roman" w:cs="Times New Roman"/>
          <w:color w:val="000000"/>
          <w:sz w:val="28"/>
          <w:szCs w:val="28"/>
          <w:lang w:val="uk-UA"/>
        </w:rPr>
        <w:t xml:space="preserve"> гривень), проведення капітальних та поточних ремонтів доріг на суму 8,7 млн. гривень, в тому числі кошти державного бюджету – 7,5 млн</w:t>
      </w:r>
      <w:r w:rsidR="00484328">
        <w:rPr>
          <w:rFonts w:ascii="Times New Roman" w:hAnsi="Times New Roman" w:cs="Times New Roman"/>
          <w:color w:val="000000"/>
          <w:sz w:val="28"/>
          <w:szCs w:val="28"/>
          <w:lang w:val="uk-UA"/>
        </w:rPr>
        <w:t>.</w:t>
      </w:r>
      <w:r w:rsidR="002A4CD7">
        <w:rPr>
          <w:rFonts w:ascii="Times New Roman" w:hAnsi="Times New Roman" w:cs="Times New Roman"/>
          <w:color w:val="000000"/>
          <w:sz w:val="28"/>
          <w:szCs w:val="28"/>
          <w:lang w:val="uk-UA"/>
        </w:rPr>
        <w:t xml:space="preserve"> гривень; капітальний ремонт вуличного освітлення </w:t>
      </w:r>
      <w:r w:rsidR="005A17B4">
        <w:rPr>
          <w:rFonts w:ascii="Times New Roman" w:hAnsi="Times New Roman" w:cs="Times New Roman"/>
          <w:color w:val="000000"/>
          <w:sz w:val="28"/>
          <w:szCs w:val="28"/>
          <w:lang w:val="uk-UA"/>
        </w:rPr>
        <w:t>–</w:t>
      </w:r>
      <w:r w:rsidR="002A4CD7">
        <w:rPr>
          <w:rFonts w:ascii="Times New Roman" w:hAnsi="Times New Roman" w:cs="Times New Roman"/>
          <w:color w:val="000000"/>
          <w:sz w:val="28"/>
          <w:szCs w:val="28"/>
          <w:lang w:val="uk-UA"/>
        </w:rPr>
        <w:t xml:space="preserve"> </w:t>
      </w:r>
      <w:r w:rsidR="005A17B4">
        <w:rPr>
          <w:rFonts w:ascii="Times New Roman" w:hAnsi="Times New Roman" w:cs="Times New Roman"/>
          <w:color w:val="000000"/>
          <w:sz w:val="28"/>
          <w:szCs w:val="28"/>
          <w:lang w:val="uk-UA"/>
        </w:rPr>
        <w:t>1,4 млн</w:t>
      </w:r>
      <w:r w:rsidR="00484328">
        <w:rPr>
          <w:rFonts w:ascii="Times New Roman" w:hAnsi="Times New Roman" w:cs="Times New Roman"/>
          <w:color w:val="000000"/>
          <w:sz w:val="28"/>
          <w:szCs w:val="28"/>
          <w:lang w:val="uk-UA"/>
        </w:rPr>
        <w:t>.</w:t>
      </w:r>
      <w:r w:rsidR="005A17B4">
        <w:rPr>
          <w:rFonts w:ascii="Times New Roman" w:hAnsi="Times New Roman" w:cs="Times New Roman"/>
          <w:color w:val="000000"/>
          <w:sz w:val="28"/>
          <w:szCs w:val="28"/>
          <w:lang w:val="uk-UA"/>
        </w:rPr>
        <w:t xml:space="preserve"> гривень</w:t>
      </w:r>
    </w:p>
    <w:p w:rsidR="00F329C0" w:rsidRDefault="005A17B4" w:rsidP="00FB7F37">
      <w:pPr>
        <w:pStyle w:val="HTML"/>
        <w:shd w:val="clear" w:color="auto" w:fill="FFFFFF"/>
        <w:ind w:firstLine="85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Недри</w:t>
      </w:r>
      <w:r w:rsidR="00F329C0">
        <w:rPr>
          <w:rFonts w:ascii="Times New Roman" w:hAnsi="Times New Roman" w:cs="Times New Roman"/>
          <w:color w:val="000000"/>
          <w:sz w:val="28"/>
          <w:szCs w:val="28"/>
          <w:lang w:val="uk-UA"/>
        </w:rPr>
        <w:t>гайлівською селищною радою розпочали реалізаці</w:t>
      </w:r>
      <w:r w:rsidR="00484328">
        <w:rPr>
          <w:rFonts w:ascii="Times New Roman" w:hAnsi="Times New Roman" w:cs="Times New Roman"/>
          <w:color w:val="000000"/>
          <w:sz w:val="28"/>
          <w:szCs w:val="28"/>
          <w:lang w:val="uk-UA"/>
        </w:rPr>
        <w:t>ю проектів вуличного освітлення</w:t>
      </w:r>
      <w:r w:rsidR="00F329C0">
        <w:rPr>
          <w:rFonts w:ascii="Times New Roman" w:hAnsi="Times New Roman" w:cs="Times New Roman"/>
          <w:color w:val="000000"/>
          <w:sz w:val="28"/>
          <w:szCs w:val="28"/>
          <w:lang w:val="uk-UA"/>
        </w:rPr>
        <w:t>, в тому числі н</w:t>
      </w:r>
      <w:r w:rsidR="00484328">
        <w:rPr>
          <w:rFonts w:ascii="Times New Roman" w:hAnsi="Times New Roman" w:cs="Times New Roman"/>
          <w:color w:val="000000"/>
          <w:sz w:val="28"/>
          <w:szCs w:val="28"/>
          <w:lang w:val="uk-UA"/>
        </w:rPr>
        <w:t>а</w:t>
      </w:r>
      <w:r w:rsidR="00F329C0">
        <w:rPr>
          <w:rFonts w:ascii="Times New Roman" w:hAnsi="Times New Roman" w:cs="Times New Roman"/>
          <w:color w:val="000000"/>
          <w:sz w:val="28"/>
          <w:szCs w:val="28"/>
          <w:lang w:val="uk-UA"/>
        </w:rPr>
        <w:t xml:space="preserve"> сонячних батареях (вартість проекту 381,3 тис</w:t>
      </w:r>
      <w:r w:rsidR="00484328">
        <w:rPr>
          <w:rFonts w:ascii="Times New Roman" w:hAnsi="Times New Roman" w:cs="Times New Roman"/>
          <w:color w:val="000000"/>
          <w:sz w:val="28"/>
          <w:szCs w:val="28"/>
          <w:lang w:val="uk-UA"/>
        </w:rPr>
        <w:t>.</w:t>
      </w:r>
      <w:r w:rsidR="00F329C0">
        <w:rPr>
          <w:rFonts w:ascii="Times New Roman" w:hAnsi="Times New Roman" w:cs="Times New Roman"/>
          <w:color w:val="000000"/>
          <w:sz w:val="28"/>
          <w:szCs w:val="28"/>
          <w:lang w:val="uk-UA"/>
        </w:rPr>
        <w:t xml:space="preserve"> гривень). Розроблені проекти по будівництву центру безпеки в селищі Недригайлів вартістю близько 13 млн</w:t>
      </w:r>
      <w:r w:rsidR="00484328">
        <w:rPr>
          <w:rFonts w:ascii="Times New Roman" w:hAnsi="Times New Roman" w:cs="Times New Roman"/>
          <w:color w:val="000000"/>
          <w:sz w:val="28"/>
          <w:szCs w:val="28"/>
          <w:lang w:val="uk-UA"/>
        </w:rPr>
        <w:t>. гри</w:t>
      </w:r>
      <w:r w:rsidR="00F329C0">
        <w:rPr>
          <w:rFonts w:ascii="Times New Roman" w:hAnsi="Times New Roman" w:cs="Times New Roman"/>
          <w:color w:val="000000"/>
          <w:sz w:val="28"/>
          <w:szCs w:val="28"/>
          <w:lang w:val="uk-UA"/>
        </w:rPr>
        <w:t xml:space="preserve">вень, </w:t>
      </w:r>
      <w:r w:rsidR="002A4CD7">
        <w:rPr>
          <w:rFonts w:ascii="Times New Roman" w:hAnsi="Times New Roman" w:cs="Times New Roman"/>
          <w:color w:val="000000"/>
          <w:sz w:val="28"/>
          <w:szCs w:val="28"/>
          <w:lang w:val="uk-UA"/>
        </w:rPr>
        <w:t xml:space="preserve">будівництву майданчика для тимчасової зупинки автомобілів з облаштування тротуару в </w:t>
      </w:r>
      <w:r w:rsidR="00484328">
        <w:rPr>
          <w:rFonts w:ascii="Times New Roman" w:hAnsi="Times New Roman" w:cs="Times New Roman"/>
          <w:color w:val="000000"/>
          <w:sz w:val="28"/>
          <w:szCs w:val="28"/>
          <w:lang w:val="uk-UA"/>
        </w:rPr>
        <w:t>селищ Недригайлів (2,</w:t>
      </w:r>
      <w:r w:rsidR="002A4CD7">
        <w:rPr>
          <w:rFonts w:ascii="Times New Roman" w:hAnsi="Times New Roman" w:cs="Times New Roman"/>
          <w:color w:val="000000"/>
          <w:sz w:val="28"/>
          <w:szCs w:val="28"/>
          <w:lang w:val="uk-UA"/>
        </w:rPr>
        <w:t>2 млн</w:t>
      </w:r>
      <w:r w:rsidR="00484328">
        <w:rPr>
          <w:rFonts w:ascii="Times New Roman" w:hAnsi="Times New Roman" w:cs="Times New Roman"/>
          <w:color w:val="000000"/>
          <w:sz w:val="28"/>
          <w:szCs w:val="28"/>
          <w:lang w:val="uk-UA"/>
        </w:rPr>
        <w:t>. гривень), реконструкції Недри</w:t>
      </w:r>
      <w:r w:rsidR="002A4CD7">
        <w:rPr>
          <w:rFonts w:ascii="Times New Roman" w:hAnsi="Times New Roman" w:cs="Times New Roman"/>
          <w:color w:val="000000"/>
          <w:sz w:val="28"/>
          <w:szCs w:val="28"/>
          <w:lang w:val="uk-UA"/>
        </w:rPr>
        <w:t>гайлівського БДЮТу (4,3 млн</w:t>
      </w:r>
      <w:r w:rsidR="00484328">
        <w:rPr>
          <w:rFonts w:ascii="Times New Roman" w:hAnsi="Times New Roman" w:cs="Times New Roman"/>
          <w:color w:val="000000"/>
          <w:sz w:val="28"/>
          <w:szCs w:val="28"/>
          <w:lang w:val="uk-UA"/>
        </w:rPr>
        <w:t>.</w:t>
      </w:r>
      <w:r w:rsidR="002A4CD7">
        <w:rPr>
          <w:rFonts w:ascii="Times New Roman" w:hAnsi="Times New Roman" w:cs="Times New Roman"/>
          <w:color w:val="000000"/>
          <w:sz w:val="28"/>
          <w:szCs w:val="28"/>
          <w:lang w:val="uk-UA"/>
        </w:rPr>
        <w:t xml:space="preserve"> гривень) та Хоружівського НВК, продовження реконструкції Недригайлівської СЗОШ І-ІІІ ст (інженерні мережі та оздоблення приміщень),  розпочаті роботи по виготовленню містобудівно</w:t>
      </w:r>
      <w:r w:rsidR="00484328">
        <w:rPr>
          <w:rFonts w:ascii="Times New Roman" w:hAnsi="Times New Roman" w:cs="Times New Roman"/>
          <w:color w:val="000000"/>
          <w:sz w:val="28"/>
          <w:szCs w:val="28"/>
          <w:lang w:val="uk-UA"/>
        </w:rPr>
        <w:t>ї</w:t>
      </w:r>
      <w:r w:rsidR="002A4CD7">
        <w:rPr>
          <w:rFonts w:ascii="Times New Roman" w:hAnsi="Times New Roman" w:cs="Times New Roman"/>
          <w:color w:val="000000"/>
          <w:sz w:val="28"/>
          <w:szCs w:val="28"/>
          <w:lang w:val="uk-UA"/>
        </w:rPr>
        <w:t xml:space="preserve"> документації та топографічних планів населених пунктів громади. Ці проектні пропозиції є основою для планування ді</w:t>
      </w:r>
      <w:r w:rsidR="00484328">
        <w:rPr>
          <w:rFonts w:ascii="Times New Roman" w:hAnsi="Times New Roman" w:cs="Times New Roman"/>
          <w:color w:val="000000"/>
          <w:sz w:val="28"/>
          <w:szCs w:val="28"/>
          <w:lang w:val="uk-UA"/>
        </w:rPr>
        <w:t>яльності ради в 2019-20</w:t>
      </w:r>
      <w:r w:rsidR="002A4CD7">
        <w:rPr>
          <w:rFonts w:ascii="Times New Roman" w:hAnsi="Times New Roman" w:cs="Times New Roman"/>
          <w:color w:val="000000"/>
          <w:sz w:val="28"/>
          <w:szCs w:val="28"/>
          <w:lang w:val="uk-UA"/>
        </w:rPr>
        <w:t>21 роках</w:t>
      </w:r>
      <w:r w:rsidR="00DD31D7">
        <w:rPr>
          <w:rFonts w:ascii="Times New Roman" w:hAnsi="Times New Roman" w:cs="Times New Roman"/>
          <w:color w:val="000000"/>
          <w:sz w:val="28"/>
          <w:szCs w:val="28"/>
          <w:lang w:val="uk-UA"/>
        </w:rPr>
        <w:t>.</w:t>
      </w:r>
    </w:p>
    <w:p w:rsidR="006A1AC4" w:rsidRDefault="006A1AC4" w:rsidP="00FB7F37">
      <w:pPr>
        <w:pStyle w:val="HTML"/>
        <w:shd w:val="clear" w:color="auto" w:fill="FFFFFF"/>
        <w:ind w:firstLine="85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Вільша</w:t>
      </w:r>
      <w:r w:rsidR="00DD31D7">
        <w:rPr>
          <w:rFonts w:ascii="Times New Roman" w:hAnsi="Times New Roman" w:cs="Times New Roman"/>
          <w:color w:val="000000"/>
          <w:sz w:val="28"/>
          <w:szCs w:val="28"/>
          <w:lang w:val="uk-UA"/>
        </w:rPr>
        <w:t>н</w:t>
      </w:r>
      <w:r>
        <w:rPr>
          <w:rFonts w:ascii="Times New Roman" w:hAnsi="Times New Roman" w:cs="Times New Roman"/>
          <w:color w:val="000000"/>
          <w:sz w:val="28"/>
          <w:szCs w:val="28"/>
          <w:lang w:val="uk-UA"/>
        </w:rPr>
        <w:t>ською сі</w:t>
      </w:r>
      <w:r w:rsidR="00DD31D7">
        <w:rPr>
          <w:rFonts w:ascii="Times New Roman" w:hAnsi="Times New Roman" w:cs="Times New Roman"/>
          <w:color w:val="000000"/>
          <w:sz w:val="28"/>
          <w:szCs w:val="28"/>
          <w:lang w:val="uk-UA"/>
        </w:rPr>
        <w:t>ль</w:t>
      </w:r>
      <w:r>
        <w:rPr>
          <w:rFonts w:ascii="Times New Roman" w:hAnsi="Times New Roman" w:cs="Times New Roman"/>
          <w:color w:val="000000"/>
          <w:sz w:val="28"/>
          <w:szCs w:val="28"/>
          <w:lang w:val="uk-UA"/>
        </w:rPr>
        <w:t>сь</w:t>
      </w:r>
      <w:r w:rsidR="00DD31D7">
        <w:rPr>
          <w:rFonts w:ascii="Times New Roman" w:hAnsi="Times New Roman" w:cs="Times New Roman"/>
          <w:color w:val="000000"/>
          <w:sz w:val="28"/>
          <w:szCs w:val="28"/>
          <w:lang w:val="uk-UA"/>
        </w:rPr>
        <w:t xml:space="preserve">кою радою розроблені проекти, які плануються реалізовуватися в 2019-2021 роках, а саме: </w:t>
      </w:r>
    </w:p>
    <w:p w:rsidR="006A1AC4" w:rsidRDefault="006A1AC4" w:rsidP="00FB7F37">
      <w:pPr>
        <w:pStyle w:val="HTML"/>
        <w:shd w:val="clear" w:color="auto" w:fill="FFFFFF"/>
        <w:ind w:firstLine="851"/>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DD31D7">
        <w:rPr>
          <w:rFonts w:ascii="Times New Roman" w:hAnsi="Times New Roman" w:cs="Times New Roman"/>
          <w:color w:val="000000"/>
          <w:sz w:val="28"/>
          <w:szCs w:val="28"/>
          <w:lang w:val="uk-UA"/>
        </w:rPr>
        <w:t>р</w:t>
      </w:r>
      <w:r w:rsidR="00DD31D7" w:rsidRPr="001E505A">
        <w:rPr>
          <w:rFonts w:ascii="Times New Roman" w:hAnsi="Times New Roman" w:cs="Times New Roman"/>
          <w:sz w:val="28"/>
          <w:szCs w:val="28"/>
          <w:lang w:val="uk-UA"/>
        </w:rPr>
        <w:t>еконструкція</w:t>
      </w:r>
      <w:r w:rsidR="00DD31D7">
        <w:rPr>
          <w:rFonts w:ascii="Times New Roman" w:hAnsi="Times New Roman" w:cs="Times New Roman"/>
          <w:sz w:val="28"/>
          <w:szCs w:val="28"/>
          <w:lang w:val="uk-UA"/>
        </w:rPr>
        <w:t xml:space="preserve"> теплопостачання Вільшанської ЗОШ І-ІІІ ступенів по вул. Київський шлях, 14, в с. Вільшана Недригайлівського району, Сумської </w:t>
      </w:r>
      <w:r w:rsidR="00DD31D7">
        <w:rPr>
          <w:rFonts w:ascii="Times New Roman" w:hAnsi="Times New Roman" w:cs="Times New Roman"/>
          <w:sz w:val="28"/>
          <w:szCs w:val="28"/>
          <w:lang w:val="uk-UA"/>
        </w:rPr>
        <w:lastRenderedPageBreak/>
        <w:t xml:space="preserve">області (заміна теплових мереж та реконструкція системи опалення), вартість проекту - </w:t>
      </w:r>
      <w:r>
        <w:rPr>
          <w:rFonts w:ascii="Times New Roman" w:hAnsi="Times New Roman" w:cs="Times New Roman"/>
          <w:sz w:val="28"/>
          <w:szCs w:val="28"/>
          <w:lang w:val="uk-UA"/>
        </w:rPr>
        <w:t>2961,624 тис. грн.;</w:t>
      </w:r>
    </w:p>
    <w:p w:rsidR="006A1AC4" w:rsidRDefault="006A1AC4" w:rsidP="00FB7F37">
      <w:pPr>
        <w:pStyle w:val="HTML"/>
        <w:shd w:val="clear" w:color="auto" w:fill="FFFFFF"/>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DD31D7" w:rsidRPr="006A1AC4">
        <w:rPr>
          <w:rFonts w:ascii="Times New Roman" w:hAnsi="Times New Roman" w:cs="Times New Roman"/>
          <w:sz w:val="28"/>
          <w:szCs w:val="28"/>
          <w:lang w:val="uk-UA"/>
        </w:rPr>
        <w:t xml:space="preserve"> </w:t>
      </w:r>
      <w:r w:rsidR="00A8480B" w:rsidRPr="006A1AC4">
        <w:rPr>
          <w:rFonts w:ascii="Times New Roman" w:hAnsi="Times New Roman" w:cs="Times New Roman"/>
          <w:sz w:val="28"/>
          <w:szCs w:val="28"/>
          <w:lang w:val="uk-UA"/>
        </w:rPr>
        <w:t>р</w:t>
      </w:r>
      <w:r w:rsidR="00DD31D7" w:rsidRPr="006A1AC4">
        <w:rPr>
          <w:rFonts w:ascii="Times New Roman" w:hAnsi="Times New Roman" w:cs="Times New Roman"/>
          <w:sz w:val="28"/>
          <w:szCs w:val="28"/>
          <w:lang w:val="uk-UA"/>
        </w:rPr>
        <w:t xml:space="preserve">еконструкція будівлі Вільшанської загальноосвітньої школи І-ІІІ ступенів Недригайлівської районної ради, Сумської області. Утеплення фасадів, горищ, заміна вікон - 5526,442тис. грн. </w:t>
      </w:r>
    </w:p>
    <w:p w:rsidR="00DD31D7" w:rsidRDefault="00DD31D7" w:rsidP="00FB7F37">
      <w:pPr>
        <w:pStyle w:val="HTML"/>
        <w:shd w:val="clear" w:color="auto" w:fill="FFFFFF"/>
        <w:ind w:firstLine="851"/>
        <w:jc w:val="both"/>
        <w:rPr>
          <w:rFonts w:ascii="Times New Roman" w:hAnsi="Times New Roman" w:cs="Times New Roman"/>
          <w:sz w:val="28"/>
          <w:szCs w:val="28"/>
          <w:lang w:val="uk-UA"/>
        </w:rPr>
      </w:pPr>
      <w:r w:rsidRPr="006A1AC4">
        <w:rPr>
          <w:rFonts w:ascii="Times New Roman" w:hAnsi="Times New Roman" w:cs="Times New Roman"/>
          <w:sz w:val="28"/>
          <w:szCs w:val="28"/>
          <w:lang w:val="uk-UA"/>
        </w:rPr>
        <w:t xml:space="preserve">Крім того,  в громади є плани щодо реконструкція будівлі та даху  Вільшанського ДНЗ «Ромашка», утеплення фасадів, горищ, заміна вікон; </w:t>
      </w:r>
      <w:r w:rsidR="006A1AC4">
        <w:rPr>
          <w:rFonts w:ascii="Times New Roman" w:hAnsi="Times New Roman" w:cs="Times New Roman"/>
          <w:sz w:val="28"/>
          <w:szCs w:val="28"/>
          <w:lang w:val="uk-UA"/>
        </w:rPr>
        <w:t>р</w:t>
      </w:r>
      <w:r w:rsidRPr="006A1AC4">
        <w:rPr>
          <w:rFonts w:ascii="Times New Roman" w:hAnsi="Times New Roman" w:cs="Times New Roman"/>
          <w:sz w:val="28"/>
          <w:szCs w:val="28"/>
          <w:lang w:val="uk-UA"/>
        </w:rPr>
        <w:t>еконструкція даху адмінбудівлі Вільшанської сільської ради, капітальний ремонт будівлі всіх сільських будинків культури, які розташовані на території громади та встановлення нових дитячих ігрових майданчиків</w:t>
      </w:r>
      <w:r w:rsidR="00A8480B" w:rsidRPr="006A1AC4">
        <w:rPr>
          <w:rFonts w:ascii="Times New Roman" w:hAnsi="Times New Roman" w:cs="Times New Roman"/>
          <w:sz w:val="28"/>
          <w:szCs w:val="28"/>
          <w:lang w:val="uk-UA"/>
        </w:rPr>
        <w:t xml:space="preserve">, а також ремонт </w:t>
      </w:r>
      <w:r w:rsidR="006A1AC4">
        <w:rPr>
          <w:rFonts w:ascii="Times New Roman" w:hAnsi="Times New Roman" w:cs="Times New Roman"/>
          <w:sz w:val="28"/>
          <w:szCs w:val="28"/>
          <w:lang w:val="uk-UA"/>
        </w:rPr>
        <w:t>місцевих доріг.</w:t>
      </w:r>
    </w:p>
    <w:p w:rsidR="00313990" w:rsidRPr="006A1AC4" w:rsidRDefault="00313990" w:rsidP="00FB7F37">
      <w:pPr>
        <w:pStyle w:val="HTML"/>
        <w:shd w:val="clear" w:color="auto" w:fill="FFFFFF"/>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 районі продовжується політика проведення реформування, яка направлена на зміцнення  місцевого самоврядування, розвиток сільських територій,  максимальної доступності населення до соціальних послуг, збільшення доходів населення та розвитку громад</w:t>
      </w:r>
      <w:r w:rsidR="00A61CF9">
        <w:rPr>
          <w:rFonts w:ascii="Times New Roman" w:hAnsi="Times New Roman" w:cs="Times New Roman"/>
          <w:sz w:val="28"/>
          <w:szCs w:val="28"/>
          <w:lang w:val="uk-UA"/>
        </w:rPr>
        <w:t xml:space="preserve"> вцілому </w:t>
      </w:r>
      <w:r>
        <w:rPr>
          <w:rFonts w:ascii="Times New Roman" w:hAnsi="Times New Roman" w:cs="Times New Roman"/>
          <w:sz w:val="28"/>
          <w:szCs w:val="28"/>
          <w:lang w:val="uk-UA"/>
        </w:rPr>
        <w:t xml:space="preserve">. </w:t>
      </w:r>
    </w:p>
    <w:p w:rsidR="00B56641" w:rsidRDefault="00B56641">
      <w:pPr>
        <w:rPr>
          <w:b/>
          <w:lang w:val="uk-UA"/>
        </w:rPr>
      </w:pPr>
    </w:p>
    <w:p w:rsidR="003D376B" w:rsidRDefault="003D376B">
      <w:pPr>
        <w:rPr>
          <w:b/>
          <w:lang w:val="uk-UA"/>
        </w:rPr>
      </w:pPr>
    </w:p>
    <w:p w:rsidR="003D376B" w:rsidRPr="003D376B" w:rsidRDefault="003D376B">
      <w:pPr>
        <w:rPr>
          <w:rFonts w:ascii="Times New Roman" w:hAnsi="Times New Roman" w:cs="Times New Roman"/>
          <w:sz w:val="28"/>
          <w:szCs w:val="28"/>
          <w:lang w:val="uk-UA"/>
        </w:rPr>
      </w:pPr>
      <w:r w:rsidRPr="003D376B">
        <w:rPr>
          <w:rFonts w:ascii="Times New Roman" w:hAnsi="Times New Roman" w:cs="Times New Roman"/>
          <w:sz w:val="28"/>
          <w:szCs w:val="28"/>
          <w:lang w:val="uk-UA"/>
        </w:rPr>
        <w:t>Дякую за увагу!</w:t>
      </w:r>
    </w:p>
    <w:sectPr w:rsidR="003D376B" w:rsidRPr="003D376B" w:rsidSect="000D3F1A">
      <w:headerReference w:type="default" r:id="rId12"/>
      <w:pgSz w:w="11906" w:h="16838"/>
      <w:pgMar w:top="709"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E2E" w:rsidRDefault="00D16E2E" w:rsidP="00E44260">
      <w:pPr>
        <w:spacing w:after="0" w:line="240" w:lineRule="auto"/>
      </w:pPr>
      <w:r>
        <w:separator/>
      </w:r>
    </w:p>
  </w:endnote>
  <w:endnote w:type="continuationSeparator" w:id="1">
    <w:p w:rsidR="00D16E2E" w:rsidRDefault="00D16E2E" w:rsidP="00E442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Demi">
    <w:altName w:val="Franklin Gothic Medium"/>
    <w:charset w:val="CC"/>
    <w:family w:val="swiss"/>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E2E" w:rsidRDefault="00D16E2E" w:rsidP="00E44260">
      <w:pPr>
        <w:spacing w:after="0" w:line="240" w:lineRule="auto"/>
      </w:pPr>
      <w:r>
        <w:separator/>
      </w:r>
    </w:p>
  </w:footnote>
  <w:footnote w:type="continuationSeparator" w:id="1">
    <w:p w:rsidR="00D16E2E" w:rsidRDefault="00D16E2E" w:rsidP="00E442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17763"/>
      <w:docPartObj>
        <w:docPartGallery w:val="Номера страниц (вверху страницы)"/>
        <w:docPartUnique/>
      </w:docPartObj>
    </w:sdtPr>
    <w:sdtContent>
      <w:p w:rsidR="009364CB" w:rsidRDefault="00D44A71">
        <w:pPr>
          <w:pStyle w:val="ae"/>
          <w:jc w:val="center"/>
        </w:pPr>
        <w:fldSimple w:instr=" PAGE   \* MERGEFORMAT ">
          <w:r w:rsidR="003E6E44">
            <w:rPr>
              <w:noProof/>
            </w:rPr>
            <w:t>10</w:t>
          </w:r>
        </w:fldSimple>
      </w:p>
    </w:sdtContent>
  </w:sdt>
  <w:p w:rsidR="00E44260" w:rsidRDefault="00E4426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307F6"/>
    <w:multiLevelType w:val="hybridMultilevel"/>
    <w:tmpl w:val="49A47A54"/>
    <w:lvl w:ilvl="0" w:tplc="800A852A">
      <w:start w:val="1"/>
      <w:numFmt w:val="bullet"/>
      <w:lvlText w:val="•"/>
      <w:lvlJc w:val="left"/>
      <w:pPr>
        <w:tabs>
          <w:tab w:val="num" w:pos="720"/>
        </w:tabs>
        <w:ind w:left="720" w:hanging="360"/>
      </w:pPr>
      <w:rPr>
        <w:rFonts w:ascii="Arial" w:hAnsi="Arial" w:hint="default"/>
      </w:rPr>
    </w:lvl>
    <w:lvl w:ilvl="1" w:tplc="22187F1A" w:tentative="1">
      <w:start w:val="1"/>
      <w:numFmt w:val="bullet"/>
      <w:lvlText w:val="•"/>
      <w:lvlJc w:val="left"/>
      <w:pPr>
        <w:tabs>
          <w:tab w:val="num" w:pos="1440"/>
        </w:tabs>
        <w:ind w:left="1440" w:hanging="360"/>
      </w:pPr>
      <w:rPr>
        <w:rFonts w:ascii="Arial" w:hAnsi="Arial" w:hint="default"/>
      </w:rPr>
    </w:lvl>
    <w:lvl w:ilvl="2" w:tplc="A1688228" w:tentative="1">
      <w:start w:val="1"/>
      <w:numFmt w:val="bullet"/>
      <w:lvlText w:val="•"/>
      <w:lvlJc w:val="left"/>
      <w:pPr>
        <w:tabs>
          <w:tab w:val="num" w:pos="2160"/>
        </w:tabs>
        <w:ind w:left="2160" w:hanging="360"/>
      </w:pPr>
      <w:rPr>
        <w:rFonts w:ascii="Arial" w:hAnsi="Arial" w:hint="default"/>
      </w:rPr>
    </w:lvl>
    <w:lvl w:ilvl="3" w:tplc="DE38CCE6" w:tentative="1">
      <w:start w:val="1"/>
      <w:numFmt w:val="bullet"/>
      <w:lvlText w:val="•"/>
      <w:lvlJc w:val="left"/>
      <w:pPr>
        <w:tabs>
          <w:tab w:val="num" w:pos="2880"/>
        </w:tabs>
        <w:ind w:left="2880" w:hanging="360"/>
      </w:pPr>
      <w:rPr>
        <w:rFonts w:ascii="Arial" w:hAnsi="Arial" w:hint="default"/>
      </w:rPr>
    </w:lvl>
    <w:lvl w:ilvl="4" w:tplc="4B16E80A" w:tentative="1">
      <w:start w:val="1"/>
      <w:numFmt w:val="bullet"/>
      <w:lvlText w:val="•"/>
      <w:lvlJc w:val="left"/>
      <w:pPr>
        <w:tabs>
          <w:tab w:val="num" w:pos="3600"/>
        </w:tabs>
        <w:ind w:left="3600" w:hanging="360"/>
      </w:pPr>
      <w:rPr>
        <w:rFonts w:ascii="Arial" w:hAnsi="Arial" w:hint="default"/>
      </w:rPr>
    </w:lvl>
    <w:lvl w:ilvl="5" w:tplc="6AD85F32" w:tentative="1">
      <w:start w:val="1"/>
      <w:numFmt w:val="bullet"/>
      <w:lvlText w:val="•"/>
      <w:lvlJc w:val="left"/>
      <w:pPr>
        <w:tabs>
          <w:tab w:val="num" w:pos="4320"/>
        </w:tabs>
        <w:ind w:left="4320" w:hanging="360"/>
      </w:pPr>
      <w:rPr>
        <w:rFonts w:ascii="Arial" w:hAnsi="Arial" w:hint="default"/>
      </w:rPr>
    </w:lvl>
    <w:lvl w:ilvl="6" w:tplc="6F2C6E02" w:tentative="1">
      <w:start w:val="1"/>
      <w:numFmt w:val="bullet"/>
      <w:lvlText w:val="•"/>
      <w:lvlJc w:val="left"/>
      <w:pPr>
        <w:tabs>
          <w:tab w:val="num" w:pos="5040"/>
        </w:tabs>
        <w:ind w:left="5040" w:hanging="360"/>
      </w:pPr>
      <w:rPr>
        <w:rFonts w:ascii="Arial" w:hAnsi="Arial" w:hint="default"/>
      </w:rPr>
    </w:lvl>
    <w:lvl w:ilvl="7" w:tplc="B50ADEF2" w:tentative="1">
      <w:start w:val="1"/>
      <w:numFmt w:val="bullet"/>
      <w:lvlText w:val="•"/>
      <w:lvlJc w:val="left"/>
      <w:pPr>
        <w:tabs>
          <w:tab w:val="num" w:pos="5760"/>
        </w:tabs>
        <w:ind w:left="5760" w:hanging="360"/>
      </w:pPr>
      <w:rPr>
        <w:rFonts w:ascii="Arial" w:hAnsi="Arial" w:hint="default"/>
      </w:rPr>
    </w:lvl>
    <w:lvl w:ilvl="8" w:tplc="64E0692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E20BD"/>
    <w:rsid w:val="000064E9"/>
    <w:rsid w:val="0001125B"/>
    <w:rsid w:val="00013133"/>
    <w:rsid w:val="000328EA"/>
    <w:rsid w:val="000563C7"/>
    <w:rsid w:val="00074AFA"/>
    <w:rsid w:val="00086431"/>
    <w:rsid w:val="000C27E0"/>
    <w:rsid w:val="000C4225"/>
    <w:rsid w:val="000D3F1A"/>
    <w:rsid w:val="000F45D1"/>
    <w:rsid w:val="00112A16"/>
    <w:rsid w:val="00116D2B"/>
    <w:rsid w:val="00130676"/>
    <w:rsid w:val="001372A3"/>
    <w:rsid w:val="001C3C3B"/>
    <w:rsid w:val="001C57EE"/>
    <w:rsid w:val="001E0ABC"/>
    <w:rsid w:val="001E31E9"/>
    <w:rsid w:val="001E42C3"/>
    <w:rsid w:val="00206F27"/>
    <w:rsid w:val="00213472"/>
    <w:rsid w:val="0022059B"/>
    <w:rsid w:val="00241E3A"/>
    <w:rsid w:val="00243FC6"/>
    <w:rsid w:val="00285DE3"/>
    <w:rsid w:val="00287DB6"/>
    <w:rsid w:val="00287EB5"/>
    <w:rsid w:val="00296D9E"/>
    <w:rsid w:val="002A4CD7"/>
    <w:rsid w:val="002D5D57"/>
    <w:rsid w:val="00307553"/>
    <w:rsid w:val="00313990"/>
    <w:rsid w:val="00350432"/>
    <w:rsid w:val="003601FC"/>
    <w:rsid w:val="00362019"/>
    <w:rsid w:val="0038453C"/>
    <w:rsid w:val="003D376B"/>
    <w:rsid w:val="003D7281"/>
    <w:rsid w:val="003E0E14"/>
    <w:rsid w:val="003E6E44"/>
    <w:rsid w:val="004050F4"/>
    <w:rsid w:val="004242C4"/>
    <w:rsid w:val="00430ADF"/>
    <w:rsid w:val="00446899"/>
    <w:rsid w:val="00462045"/>
    <w:rsid w:val="00462C53"/>
    <w:rsid w:val="00481861"/>
    <w:rsid w:val="00482219"/>
    <w:rsid w:val="00484328"/>
    <w:rsid w:val="004A068F"/>
    <w:rsid w:val="004A589E"/>
    <w:rsid w:val="004E1BB4"/>
    <w:rsid w:val="004E3DFD"/>
    <w:rsid w:val="00531C78"/>
    <w:rsid w:val="00546993"/>
    <w:rsid w:val="0055023D"/>
    <w:rsid w:val="0055086A"/>
    <w:rsid w:val="005A17B4"/>
    <w:rsid w:val="005A2D65"/>
    <w:rsid w:val="005C19C0"/>
    <w:rsid w:val="005E2C7F"/>
    <w:rsid w:val="005E44C1"/>
    <w:rsid w:val="00617986"/>
    <w:rsid w:val="00622281"/>
    <w:rsid w:val="00661D22"/>
    <w:rsid w:val="006A1AC4"/>
    <w:rsid w:val="006D233B"/>
    <w:rsid w:val="006D69B5"/>
    <w:rsid w:val="006E72ED"/>
    <w:rsid w:val="006F496A"/>
    <w:rsid w:val="006F5D79"/>
    <w:rsid w:val="006F7BC9"/>
    <w:rsid w:val="0071654C"/>
    <w:rsid w:val="00724194"/>
    <w:rsid w:val="00757AFE"/>
    <w:rsid w:val="00767002"/>
    <w:rsid w:val="00767FEA"/>
    <w:rsid w:val="00781F79"/>
    <w:rsid w:val="007820D9"/>
    <w:rsid w:val="00785090"/>
    <w:rsid w:val="007A4836"/>
    <w:rsid w:val="007D0085"/>
    <w:rsid w:val="007E20BD"/>
    <w:rsid w:val="007F2208"/>
    <w:rsid w:val="008252D3"/>
    <w:rsid w:val="00826BF2"/>
    <w:rsid w:val="00826FFC"/>
    <w:rsid w:val="00837FB8"/>
    <w:rsid w:val="00847B67"/>
    <w:rsid w:val="00853F1F"/>
    <w:rsid w:val="008627DA"/>
    <w:rsid w:val="00867383"/>
    <w:rsid w:val="0088057C"/>
    <w:rsid w:val="008A65A6"/>
    <w:rsid w:val="008B6995"/>
    <w:rsid w:val="008B7103"/>
    <w:rsid w:val="008D6F1E"/>
    <w:rsid w:val="008E4138"/>
    <w:rsid w:val="008F1B15"/>
    <w:rsid w:val="00916D15"/>
    <w:rsid w:val="00925477"/>
    <w:rsid w:val="009364CB"/>
    <w:rsid w:val="009467BD"/>
    <w:rsid w:val="00947649"/>
    <w:rsid w:val="00965EAF"/>
    <w:rsid w:val="00993093"/>
    <w:rsid w:val="009B68EA"/>
    <w:rsid w:val="009B7585"/>
    <w:rsid w:val="009E38AE"/>
    <w:rsid w:val="009E3C3B"/>
    <w:rsid w:val="00A011B0"/>
    <w:rsid w:val="00A0489C"/>
    <w:rsid w:val="00A15968"/>
    <w:rsid w:val="00A160ED"/>
    <w:rsid w:val="00A5786E"/>
    <w:rsid w:val="00A578EC"/>
    <w:rsid w:val="00A61CF9"/>
    <w:rsid w:val="00A8480B"/>
    <w:rsid w:val="00A86DA6"/>
    <w:rsid w:val="00AA4E7D"/>
    <w:rsid w:val="00AF4893"/>
    <w:rsid w:val="00B14FDF"/>
    <w:rsid w:val="00B2535B"/>
    <w:rsid w:val="00B3396F"/>
    <w:rsid w:val="00B510DF"/>
    <w:rsid w:val="00B53A0C"/>
    <w:rsid w:val="00B56641"/>
    <w:rsid w:val="00B830BF"/>
    <w:rsid w:val="00BA7304"/>
    <w:rsid w:val="00BD7DE7"/>
    <w:rsid w:val="00C00275"/>
    <w:rsid w:val="00C04D48"/>
    <w:rsid w:val="00C05576"/>
    <w:rsid w:val="00C067F2"/>
    <w:rsid w:val="00C20E62"/>
    <w:rsid w:val="00C61462"/>
    <w:rsid w:val="00C6464A"/>
    <w:rsid w:val="00C978E8"/>
    <w:rsid w:val="00CC7D29"/>
    <w:rsid w:val="00CE2AC9"/>
    <w:rsid w:val="00CE42AC"/>
    <w:rsid w:val="00CF2C92"/>
    <w:rsid w:val="00D029A4"/>
    <w:rsid w:val="00D0464C"/>
    <w:rsid w:val="00D16E2E"/>
    <w:rsid w:val="00D276B6"/>
    <w:rsid w:val="00D300CD"/>
    <w:rsid w:val="00D37FA7"/>
    <w:rsid w:val="00D44A71"/>
    <w:rsid w:val="00D81641"/>
    <w:rsid w:val="00D91525"/>
    <w:rsid w:val="00DA1F19"/>
    <w:rsid w:val="00DB6834"/>
    <w:rsid w:val="00DD015E"/>
    <w:rsid w:val="00DD2CCE"/>
    <w:rsid w:val="00DD31D7"/>
    <w:rsid w:val="00E146EA"/>
    <w:rsid w:val="00E44260"/>
    <w:rsid w:val="00E57354"/>
    <w:rsid w:val="00E65008"/>
    <w:rsid w:val="00E71973"/>
    <w:rsid w:val="00EB046D"/>
    <w:rsid w:val="00EC4943"/>
    <w:rsid w:val="00EF747D"/>
    <w:rsid w:val="00F233BF"/>
    <w:rsid w:val="00F27D68"/>
    <w:rsid w:val="00F329C0"/>
    <w:rsid w:val="00F53C25"/>
    <w:rsid w:val="00F656E0"/>
    <w:rsid w:val="00F803A8"/>
    <w:rsid w:val="00FB2433"/>
    <w:rsid w:val="00FB5E9A"/>
    <w:rsid w:val="00FB7F37"/>
    <w:rsid w:val="00FC7199"/>
    <w:rsid w:val="00FD7975"/>
    <w:rsid w:val="00FE3E2D"/>
    <w:rsid w:val="00FF2542"/>
    <w:rsid w:val="00FF4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C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03A8"/>
    <w:pPr>
      <w:spacing w:after="0" w:line="240" w:lineRule="auto"/>
      <w:ind w:left="720"/>
    </w:pPr>
    <w:rPr>
      <w:rFonts w:ascii="Calibri" w:eastAsia="Times New Roman" w:hAnsi="Calibri" w:cs="Calibri"/>
      <w:sz w:val="24"/>
      <w:szCs w:val="24"/>
    </w:rPr>
  </w:style>
  <w:style w:type="paragraph" w:styleId="a4">
    <w:name w:val="Body Text Indent"/>
    <w:basedOn w:val="a"/>
    <w:link w:val="a5"/>
    <w:uiPriority w:val="99"/>
    <w:unhideWhenUsed/>
    <w:rsid w:val="000328EA"/>
    <w:pPr>
      <w:spacing w:after="120"/>
      <w:ind w:left="283"/>
    </w:pPr>
  </w:style>
  <w:style w:type="character" w:customStyle="1" w:styleId="a5">
    <w:name w:val="Основной текст с отступом Знак"/>
    <w:basedOn w:val="a0"/>
    <w:link w:val="a4"/>
    <w:uiPriority w:val="99"/>
    <w:rsid w:val="000328EA"/>
  </w:style>
  <w:style w:type="paragraph" w:customStyle="1" w:styleId="21">
    <w:name w:val="Основной текст 21"/>
    <w:basedOn w:val="a"/>
    <w:rsid w:val="004242C4"/>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6">
    <w:name w:val="Body Text"/>
    <w:basedOn w:val="a"/>
    <w:link w:val="a7"/>
    <w:uiPriority w:val="99"/>
    <w:semiHidden/>
    <w:unhideWhenUsed/>
    <w:rsid w:val="00853F1F"/>
    <w:pPr>
      <w:spacing w:after="120"/>
    </w:pPr>
  </w:style>
  <w:style w:type="character" w:customStyle="1" w:styleId="a7">
    <w:name w:val="Основной текст Знак"/>
    <w:basedOn w:val="a0"/>
    <w:link w:val="a6"/>
    <w:uiPriority w:val="99"/>
    <w:semiHidden/>
    <w:rsid w:val="00853F1F"/>
  </w:style>
  <w:style w:type="character" w:customStyle="1" w:styleId="apple-converted-space">
    <w:name w:val="apple-converted-space"/>
    <w:basedOn w:val="a0"/>
    <w:rsid w:val="00EB046D"/>
  </w:style>
  <w:style w:type="character" w:styleId="a8">
    <w:name w:val="Strong"/>
    <w:basedOn w:val="a0"/>
    <w:qFormat/>
    <w:rsid w:val="00EB046D"/>
    <w:rPr>
      <w:b/>
      <w:bCs/>
    </w:rPr>
  </w:style>
  <w:style w:type="character" w:styleId="a9">
    <w:name w:val="Emphasis"/>
    <w:basedOn w:val="a0"/>
    <w:qFormat/>
    <w:rsid w:val="00EB046D"/>
    <w:rPr>
      <w:i/>
      <w:iCs/>
    </w:rPr>
  </w:style>
  <w:style w:type="paragraph" w:styleId="aa">
    <w:name w:val="Title"/>
    <w:basedOn w:val="a"/>
    <w:link w:val="ab"/>
    <w:qFormat/>
    <w:rsid w:val="00074AFA"/>
    <w:pPr>
      <w:spacing w:after="0" w:line="240" w:lineRule="auto"/>
      <w:jc w:val="center"/>
    </w:pPr>
    <w:rPr>
      <w:rFonts w:ascii="Times New Roman" w:eastAsia="Times New Roman" w:hAnsi="Times New Roman" w:cs="Times New Roman"/>
      <w:b/>
      <w:bCs/>
      <w:sz w:val="28"/>
      <w:szCs w:val="24"/>
      <w:lang w:val="en-US"/>
    </w:rPr>
  </w:style>
  <w:style w:type="character" w:customStyle="1" w:styleId="ab">
    <w:name w:val="Название Знак"/>
    <w:basedOn w:val="a0"/>
    <w:link w:val="aa"/>
    <w:rsid w:val="00074AFA"/>
    <w:rPr>
      <w:rFonts w:ascii="Times New Roman" w:eastAsia="Times New Roman" w:hAnsi="Times New Roman" w:cs="Times New Roman"/>
      <w:b/>
      <w:bCs/>
      <w:sz w:val="28"/>
      <w:szCs w:val="24"/>
      <w:lang w:val="en-US"/>
    </w:rPr>
  </w:style>
  <w:style w:type="paragraph" w:styleId="HTML">
    <w:name w:val="HTML Preformatted"/>
    <w:basedOn w:val="a"/>
    <w:link w:val="HTML0"/>
    <w:uiPriority w:val="99"/>
    <w:semiHidden/>
    <w:unhideWhenUsed/>
    <w:rsid w:val="00FB7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FB7F37"/>
    <w:rPr>
      <w:rFonts w:ascii="Courier New" w:eastAsia="Times New Roman" w:hAnsi="Courier New" w:cs="Courier New"/>
      <w:sz w:val="20"/>
      <w:szCs w:val="20"/>
    </w:rPr>
  </w:style>
  <w:style w:type="character" w:customStyle="1" w:styleId="FontStyle11">
    <w:name w:val="Font Style11"/>
    <w:rsid w:val="00947649"/>
    <w:rPr>
      <w:rFonts w:ascii="Times New Roman" w:hAnsi="Times New Roman"/>
      <w:sz w:val="26"/>
    </w:rPr>
  </w:style>
  <w:style w:type="paragraph" w:styleId="ac">
    <w:name w:val="Balloon Text"/>
    <w:basedOn w:val="a"/>
    <w:link w:val="ad"/>
    <w:uiPriority w:val="99"/>
    <w:semiHidden/>
    <w:unhideWhenUsed/>
    <w:rsid w:val="00F27D6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27D68"/>
    <w:rPr>
      <w:rFonts w:ascii="Tahoma" w:hAnsi="Tahoma" w:cs="Tahoma"/>
      <w:sz w:val="16"/>
      <w:szCs w:val="16"/>
    </w:rPr>
  </w:style>
  <w:style w:type="character" w:customStyle="1" w:styleId="2">
    <w:name w:val="Основной текст (2)_"/>
    <w:basedOn w:val="a0"/>
    <w:link w:val="20"/>
    <w:rsid w:val="00313990"/>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13990"/>
    <w:pPr>
      <w:widowControl w:val="0"/>
      <w:shd w:val="clear" w:color="auto" w:fill="FFFFFF"/>
      <w:spacing w:before="300" w:after="540" w:line="0" w:lineRule="atLeast"/>
      <w:jc w:val="both"/>
    </w:pPr>
    <w:rPr>
      <w:rFonts w:ascii="Times New Roman" w:eastAsia="Times New Roman" w:hAnsi="Times New Roman" w:cs="Times New Roman"/>
      <w:sz w:val="28"/>
      <w:szCs w:val="28"/>
    </w:rPr>
  </w:style>
  <w:style w:type="character" w:customStyle="1" w:styleId="2FranklinGothicDemi115pt">
    <w:name w:val="Основной текст (2) + Franklin Gothic Demi;11;5 pt;Курсив"/>
    <w:basedOn w:val="2"/>
    <w:rsid w:val="00313990"/>
    <w:rPr>
      <w:rFonts w:ascii="Franklin Gothic Demi" w:eastAsia="Franklin Gothic Demi" w:hAnsi="Franklin Gothic Demi" w:cs="Franklin Gothic Demi"/>
      <w:b w:val="0"/>
      <w:bCs w:val="0"/>
      <w:i/>
      <w:iCs/>
      <w:smallCaps w:val="0"/>
      <w:strike w:val="0"/>
      <w:color w:val="000000"/>
      <w:spacing w:val="0"/>
      <w:w w:val="100"/>
      <w:position w:val="0"/>
      <w:sz w:val="23"/>
      <w:szCs w:val="23"/>
      <w:u w:val="none"/>
      <w:lang w:val="uk-UA" w:eastAsia="uk-UA" w:bidi="uk-UA"/>
    </w:rPr>
  </w:style>
  <w:style w:type="paragraph" w:styleId="ae">
    <w:name w:val="header"/>
    <w:basedOn w:val="a"/>
    <w:link w:val="af"/>
    <w:uiPriority w:val="99"/>
    <w:unhideWhenUsed/>
    <w:rsid w:val="00E4426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44260"/>
  </w:style>
  <w:style w:type="paragraph" w:styleId="af0">
    <w:name w:val="footer"/>
    <w:basedOn w:val="a"/>
    <w:link w:val="af1"/>
    <w:uiPriority w:val="99"/>
    <w:semiHidden/>
    <w:unhideWhenUsed/>
    <w:rsid w:val="00E44260"/>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E44260"/>
  </w:style>
</w:styles>
</file>

<file path=word/webSettings.xml><?xml version="1.0" encoding="utf-8"?>
<w:webSettings xmlns:r="http://schemas.openxmlformats.org/officeDocument/2006/relationships" xmlns:w="http://schemas.openxmlformats.org/wordprocessingml/2006/main">
  <w:divs>
    <w:div w:id="286743481">
      <w:bodyDiv w:val="1"/>
      <w:marLeft w:val="0"/>
      <w:marRight w:val="0"/>
      <w:marTop w:val="0"/>
      <w:marBottom w:val="0"/>
      <w:divBdr>
        <w:top w:val="none" w:sz="0" w:space="0" w:color="auto"/>
        <w:left w:val="none" w:sz="0" w:space="0" w:color="auto"/>
        <w:bottom w:val="none" w:sz="0" w:space="0" w:color="auto"/>
        <w:right w:val="none" w:sz="0" w:space="0" w:color="auto"/>
      </w:divBdr>
    </w:div>
    <w:div w:id="1137987874">
      <w:bodyDiv w:val="1"/>
      <w:marLeft w:val="0"/>
      <w:marRight w:val="0"/>
      <w:marTop w:val="0"/>
      <w:marBottom w:val="0"/>
      <w:divBdr>
        <w:top w:val="none" w:sz="0" w:space="0" w:color="auto"/>
        <w:left w:val="none" w:sz="0" w:space="0" w:color="auto"/>
        <w:bottom w:val="none" w:sz="0" w:space="0" w:color="auto"/>
        <w:right w:val="none" w:sz="0" w:space="0" w:color="auto"/>
      </w:divBdr>
      <w:divsChild>
        <w:div w:id="1334525658">
          <w:marLeft w:val="547"/>
          <w:marRight w:val="0"/>
          <w:marTop w:val="86"/>
          <w:marBottom w:val="0"/>
          <w:divBdr>
            <w:top w:val="none" w:sz="0" w:space="0" w:color="auto"/>
            <w:left w:val="none" w:sz="0" w:space="0" w:color="auto"/>
            <w:bottom w:val="none" w:sz="0" w:space="0" w:color="auto"/>
            <w:right w:val="none" w:sz="0" w:space="0" w:color="auto"/>
          </w:divBdr>
        </w:div>
      </w:divsChild>
    </w:div>
    <w:div w:id="1272590732">
      <w:bodyDiv w:val="1"/>
      <w:marLeft w:val="0"/>
      <w:marRight w:val="0"/>
      <w:marTop w:val="0"/>
      <w:marBottom w:val="0"/>
      <w:divBdr>
        <w:top w:val="none" w:sz="0" w:space="0" w:color="auto"/>
        <w:left w:val="none" w:sz="0" w:space="0" w:color="auto"/>
        <w:bottom w:val="none" w:sz="0" w:space="0" w:color="auto"/>
        <w:right w:val="none" w:sz="0" w:space="0" w:color="auto"/>
      </w:divBdr>
    </w:div>
    <w:div w:id="1510215084">
      <w:bodyDiv w:val="1"/>
      <w:marLeft w:val="0"/>
      <w:marRight w:val="0"/>
      <w:marTop w:val="0"/>
      <w:marBottom w:val="0"/>
      <w:divBdr>
        <w:top w:val="none" w:sz="0" w:space="0" w:color="auto"/>
        <w:left w:val="none" w:sz="0" w:space="0" w:color="auto"/>
        <w:bottom w:val="none" w:sz="0" w:space="0" w:color="auto"/>
        <w:right w:val="none" w:sz="0" w:space="0" w:color="auto"/>
      </w:divBdr>
    </w:div>
    <w:div w:id="1533688966">
      <w:bodyDiv w:val="1"/>
      <w:marLeft w:val="0"/>
      <w:marRight w:val="0"/>
      <w:marTop w:val="0"/>
      <w:marBottom w:val="0"/>
      <w:divBdr>
        <w:top w:val="none" w:sz="0" w:space="0" w:color="auto"/>
        <w:left w:val="none" w:sz="0" w:space="0" w:color="auto"/>
        <w:bottom w:val="none" w:sz="0" w:space="0" w:color="auto"/>
        <w:right w:val="none" w:sz="0" w:space="0" w:color="auto"/>
      </w:divBdr>
    </w:div>
    <w:div w:id="183464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2014</c:v>
                </c:pt>
              </c:strCache>
            </c:strRef>
          </c:tx>
          <c:cat>
            <c:strRef>
              <c:f>Лист1!$A$2:$A$4</c:f>
              <c:strCache>
                <c:ptCount val="3"/>
                <c:pt idx="0">
                  <c:v>Власні доходи</c:v>
                </c:pt>
                <c:pt idx="1">
                  <c:v>трансферти</c:v>
                </c:pt>
                <c:pt idx="2">
                  <c:v>всього</c:v>
                </c:pt>
              </c:strCache>
            </c:strRef>
          </c:cat>
          <c:val>
            <c:numRef>
              <c:f>Лист1!$B$2:$B$4</c:f>
              <c:numCache>
                <c:formatCode>0</c:formatCode>
                <c:ptCount val="3"/>
                <c:pt idx="0">
                  <c:v>6448969.0800000001</c:v>
                </c:pt>
                <c:pt idx="1">
                  <c:v>1190791</c:v>
                </c:pt>
                <c:pt idx="2">
                  <c:v>7639760</c:v>
                </c:pt>
              </c:numCache>
            </c:numRef>
          </c:val>
        </c:ser>
        <c:ser>
          <c:idx val="1"/>
          <c:order val="1"/>
          <c:tx>
            <c:strRef>
              <c:f>Лист1!$C$1</c:f>
              <c:strCache>
                <c:ptCount val="1"/>
                <c:pt idx="0">
                  <c:v>2015</c:v>
                </c:pt>
              </c:strCache>
            </c:strRef>
          </c:tx>
          <c:cat>
            <c:strRef>
              <c:f>Лист1!$A$2:$A$4</c:f>
              <c:strCache>
                <c:ptCount val="3"/>
                <c:pt idx="0">
                  <c:v>Власні доходи</c:v>
                </c:pt>
                <c:pt idx="1">
                  <c:v>трансферти</c:v>
                </c:pt>
                <c:pt idx="2">
                  <c:v>всього</c:v>
                </c:pt>
              </c:strCache>
            </c:strRef>
          </c:cat>
          <c:val>
            <c:numRef>
              <c:f>Лист1!$C$2:$C$4</c:f>
              <c:numCache>
                <c:formatCode>0</c:formatCode>
                <c:ptCount val="3"/>
                <c:pt idx="0">
                  <c:v>8724799</c:v>
                </c:pt>
                <c:pt idx="1">
                  <c:v>2461867</c:v>
                </c:pt>
                <c:pt idx="2">
                  <c:v>11186666</c:v>
                </c:pt>
              </c:numCache>
            </c:numRef>
          </c:val>
        </c:ser>
        <c:ser>
          <c:idx val="2"/>
          <c:order val="2"/>
          <c:tx>
            <c:strRef>
              <c:f>Лист1!$D$1</c:f>
              <c:strCache>
                <c:ptCount val="1"/>
                <c:pt idx="0">
                  <c:v>2016</c:v>
                </c:pt>
              </c:strCache>
            </c:strRef>
          </c:tx>
          <c:cat>
            <c:strRef>
              <c:f>Лист1!$A$2:$A$4</c:f>
              <c:strCache>
                <c:ptCount val="3"/>
                <c:pt idx="0">
                  <c:v>Власні доходи</c:v>
                </c:pt>
                <c:pt idx="1">
                  <c:v>трансферти</c:v>
                </c:pt>
                <c:pt idx="2">
                  <c:v>всього</c:v>
                </c:pt>
              </c:strCache>
            </c:strRef>
          </c:cat>
          <c:val>
            <c:numRef>
              <c:f>Лист1!$D$2:$D$4</c:f>
              <c:numCache>
                <c:formatCode>General</c:formatCode>
                <c:ptCount val="3"/>
                <c:pt idx="0" formatCode="0">
                  <c:v>13061334</c:v>
                </c:pt>
                <c:pt idx="1">
                  <c:v>3755565</c:v>
                </c:pt>
                <c:pt idx="2">
                  <c:v>16816899</c:v>
                </c:pt>
              </c:numCache>
            </c:numRef>
          </c:val>
        </c:ser>
        <c:ser>
          <c:idx val="3"/>
          <c:order val="3"/>
          <c:tx>
            <c:strRef>
              <c:f>Лист1!$E$1</c:f>
              <c:strCache>
                <c:ptCount val="1"/>
                <c:pt idx="0">
                  <c:v>2017</c:v>
                </c:pt>
              </c:strCache>
            </c:strRef>
          </c:tx>
          <c:cat>
            <c:strRef>
              <c:f>Лист1!$A$2:$A$4</c:f>
              <c:strCache>
                <c:ptCount val="3"/>
                <c:pt idx="0">
                  <c:v>Власні доходи</c:v>
                </c:pt>
                <c:pt idx="1">
                  <c:v>трансферти</c:v>
                </c:pt>
                <c:pt idx="2">
                  <c:v>всього</c:v>
                </c:pt>
              </c:strCache>
            </c:strRef>
          </c:cat>
          <c:val>
            <c:numRef>
              <c:f>Лист1!$E$2:$E$4</c:f>
              <c:numCache>
                <c:formatCode>General</c:formatCode>
                <c:ptCount val="3"/>
                <c:pt idx="0" formatCode="0">
                  <c:v>35246700</c:v>
                </c:pt>
                <c:pt idx="1">
                  <c:v>26308200</c:v>
                </c:pt>
                <c:pt idx="2">
                  <c:v>61554900</c:v>
                </c:pt>
              </c:numCache>
            </c:numRef>
          </c:val>
        </c:ser>
        <c:ser>
          <c:idx val="4"/>
          <c:order val="4"/>
          <c:tx>
            <c:strRef>
              <c:f>Лист1!$F$1</c:f>
              <c:strCache>
                <c:ptCount val="1"/>
                <c:pt idx="0">
                  <c:v>2018</c:v>
                </c:pt>
              </c:strCache>
            </c:strRef>
          </c:tx>
          <c:cat>
            <c:strRef>
              <c:f>Лист1!$A$2:$A$4</c:f>
              <c:strCache>
                <c:ptCount val="3"/>
                <c:pt idx="0">
                  <c:v>Власні доходи</c:v>
                </c:pt>
                <c:pt idx="1">
                  <c:v>трансферти</c:v>
                </c:pt>
                <c:pt idx="2">
                  <c:v>всього</c:v>
                </c:pt>
              </c:strCache>
            </c:strRef>
          </c:cat>
          <c:val>
            <c:numRef>
              <c:f>Лист1!$F$2:$F$4</c:f>
              <c:numCache>
                <c:formatCode>0</c:formatCode>
                <c:ptCount val="3"/>
                <c:pt idx="0">
                  <c:v>37676800</c:v>
                </c:pt>
                <c:pt idx="1">
                  <c:v>23670900</c:v>
                </c:pt>
                <c:pt idx="2">
                  <c:v>61347700</c:v>
                </c:pt>
              </c:numCache>
            </c:numRef>
          </c:val>
        </c:ser>
        <c:gapWidth val="75"/>
        <c:overlap val="-25"/>
        <c:axId val="119220096"/>
        <c:axId val="119221632"/>
      </c:barChart>
      <c:catAx>
        <c:axId val="119220096"/>
        <c:scaling>
          <c:orientation val="minMax"/>
        </c:scaling>
        <c:axPos val="b"/>
        <c:majorTickMark val="none"/>
        <c:tickLblPos val="nextTo"/>
        <c:crossAx val="119221632"/>
        <c:crosses val="autoZero"/>
        <c:auto val="1"/>
        <c:lblAlgn val="ctr"/>
        <c:lblOffset val="100"/>
      </c:catAx>
      <c:valAx>
        <c:axId val="119221632"/>
        <c:scaling>
          <c:orientation val="minMax"/>
        </c:scaling>
        <c:axPos val="l"/>
        <c:majorGridlines/>
        <c:numFmt formatCode="0" sourceLinked="1"/>
        <c:majorTickMark val="none"/>
        <c:tickLblPos val="nextTo"/>
        <c:spPr>
          <a:ln w="9525">
            <a:noFill/>
          </a:ln>
        </c:spPr>
        <c:crossAx val="119220096"/>
        <c:crosses val="autoZero"/>
        <c:crossBetween val="between"/>
      </c:valAx>
    </c:plotArea>
    <c:legend>
      <c:legendPos val="b"/>
    </c:legend>
    <c:plotVisOnly val="1"/>
  </c:chart>
  <c:txPr>
    <a:bodyPr/>
    <a:lstStyle/>
    <a:p>
      <a:pPr>
        <a:defRPr sz="180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2014</c:v>
                </c:pt>
              </c:strCache>
            </c:strRef>
          </c:tx>
          <c:cat>
            <c:strRef>
              <c:f>Лист1!$A$2:$A$4</c:f>
              <c:strCache>
                <c:ptCount val="3"/>
                <c:pt idx="0">
                  <c:v>Власні доходи</c:v>
                </c:pt>
                <c:pt idx="1">
                  <c:v>трансферти</c:v>
                </c:pt>
                <c:pt idx="2">
                  <c:v>всього</c:v>
                </c:pt>
              </c:strCache>
            </c:strRef>
          </c:cat>
          <c:val>
            <c:numRef>
              <c:f>Лист1!$B$2:$B$4</c:f>
              <c:numCache>
                <c:formatCode>0</c:formatCode>
                <c:ptCount val="3"/>
                <c:pt idx="0">
                  <c:v>3507009</c:v>
                </c:pt>
                <c:pt idx="1">
                  <c:v>1080687</c:v>
                </c:pt>
                <c:pt idx="2">
                  <c:v>4587696</c:v>
                </c:pt>
              </c:numCache>
            </c:numRef>
          </c:val>
        </c:ser>
        <c:ser>
          <c:idx val="1"/>
          <c:order val="1"/>
          <c:tx>
            <c:strRef>
              <c:f>Лист1!$C$1</c:f>
              <c:strCache>
                <c:ptCount val="1"/>
                <c:pt idx="0">
                  <c:v>2015</c:v>
                </c:pt>
              </c:strCache>
            </c:strRef>
          </c:tx>
          <c:cat>
            <c:strRef>
              <c:f>Лист1!$A$2:$A$4</c:f>
              <c:strCache>
                <c:ptCount val="3"/>
                <c:pt idx="0">
                  <c:v>Власні доходи</c:v>
                </c:pt>
                <c:pt idx="1">
                  <c:v>трансферти</c:v>
                </c:pt>
                <c:pt idx="2">
                  <c:v>всього</c:v>
                </c:pt>
              </c:strCache>
            </c:strRef>
          </c:cat>
          <c:val>
            <c:numRef>
              <c:f>Лист1!$C$2:$C$4</c:f>
              <c:numCache>
                <c:formatCode>0</c:formatCode>
                <c:ptCount val="3"/>
                <c:pt idx="0">
                  <c:v>5602646</c:v>
                </c:pt>
                <c:pt idx="1">
                  <c:v>1354599</c:v>
                </c:pt>
                <c:pt idx="2">
                  <c:v>6957246</c:v>
                </c:pt>
              </c:numCache>
            </c:numRef>
          </c:val>
        </c:ser>
        <c:ser>
          <c:idx val="2"/>
          <c:order val="2"/>
          <c:tx>
            <c:strRef>
              <c:f>Лист1!$D$1</c:f>
              <c:strCache>
                <c:ptCount val="1"/>
                <c:pt idx="0">
                  <c:v>2016</c:v>
                </c:pt>
              </c:strCache>
            </c:strRef>
          </c:tx>
          <c:cat>
            <c:strRef>
              <c:f>Лист1!$A$2:$A$4</c:f>
              <c:strCache>
                <c:ptCount val="3"/>
                <c:pt idx="0">
                  <c:v>Власні доходи</c:v>
                </c:pt>
                <c:pt idx="1">
                  <c:v>трансферти</c:v>
                </c:pt>
                <c:pt idx="2">
                  <c:v>всього</c:v>
                </c:pt>
              </c:strCache>
            </c:strRef>
          </c:cat>
          <c:val>
            <c:numRef>
              <c:f>Лист1!$D$2:$D$4</c:f>
              <c:numCache>
                <c:formatCode>General</c:formatCode>
                <c:ptCount val="3"/>
                <c:pt idx="0" formatCode="0">
                  <c:v>8127914</c:v>
                </c:pt>
                <c:pt idx="1">
                  <c:v>1397421</c:v>
                </c:pt>
                <c:pt idx="2">
                  <c:v>9525335</c:v>
                </c:pt>
              </c:numCache>
            </c:numRef>
          </c:val>
        </c:ser>
        <c:ser>
          <c:idx val="3"/>
          <c:order val="3"/>
          <c:tx>
            <c:strRef>
              <c:f>Лист1!$E$1</c:f>
              <c:strCache>
                <c:ptCount val="1"/>
                <c:pt idx="0">
                  <c:v>2017</c:v>
                </c:pt>
              </c:strCache>
            </c:strRef>
          </c:tx>
          <c:cat>
            <c:strRef>
              <c:f>Лист1!$A$2:$A$4</c:f>
              <c:strCache>
                <c:ptCount val="3"/>
                <c:pt idx="0">
                  <c:v>Власні доходи</c:v>
                </c:pt>
                <c:pt idx="1">
                  <c:v>трансферти</c:v>
                </c:pt>
                <c:pt idx="2">
                  <c:v>всього</c:v>
                </c:pt>
              </c:strCache>
            </c:strRef>
          </c:cat>
          <c:val>
            <c:numRef>
              <c:f>Лист1!$E$2:$E$4</c:f>
              <c:numCache>
                <c:formatCode>General</c:formatCode>
                <c:ptCount val="3"/>
                <c:pt idx="0" formatCode="0">
                  <c:v>9967907</c:v>
                </c:pt>
                <c:pt idx="1">
                  <c:v>1586993</c:v>
                </c:pt>
                <c:pt idx="2">
                  <c:v>11554900</c:v>
                </c:pt>
              </c:numCache>
            </c:numRef>
          </c:val>
        </c:ser>
        <c:ser>
          <c:idx val="4"/>
          <c:order val="4"/>
          <c:tx>
            <c:strRef>
              <c:f>Лист1!$F$1</c:f>
              <c:strCache>
                <c:ptCount val="1"/>
                <c:pt idx="0">
                  <c:v>2018</c:v>
                </c:pt>
              </c:strCache>
            </c:strRef>
          </c:tx>
          <c:cat>
            <c:strRef>
              <c:f>Лист1!$A$2:$A$4</c:f>
              <c:strCache>
                <c:ptCount val="3"/>
                <c:pt idx="0">
                  <c:v>Власні доходи</c:v>
                </c:pt>
                <c:pt idx="1">
                  <c:v>трансферти</c:v>
                </c:pt>
                <c:pt idx="2">
                  <c:v>всього</c:v>
                </c:pt>
              </c:strCache>
            </c:strRef>
          </c:cat>
          <c:val>
            <c:numRef>
              <c:f>Лист1!$F$2:$F$4</c:f>
              <c:numCache>
                <c:formatCode>0</c:formatCode>
                <c:ptCount val="3"/>
                <c:pt idx="0">
                  <c:v>19865854</c:v>
                </c:pt>
                <c:pt idx="1">
                  <c:v>17264523</c:v>
                </c:pt>
                <c:pt idx="2">
                  <c:v>37130377</c:v>
                </c:pt>
              </c:numCache>
            </c:numRef>
          </c:val>
        </c:ser>
        <c:gapWidth val="75"/>
        <c:overlap val="-25"/>
        <c:axId val="119248768"/>
        <c:axId val="119250304"/>
      </c:barChart>
      <c:catAx>
        <c:axId val="119248768"/>
        <c:scaling>
          <c:orientation val="minMax"/>
        </c:scaling>
        <c:axPos val="b"/>
        <c:majorTickMark val="none"/>
        <c:tickLblPos val="nextTo"/>
        <c:crossAx val="119250304"/>
        <c:crosses val="autoZero"/>
        <c:auto val="1"/>
        <c:lblAlgn val="ctr"/>
        <c:lblOffset val="100"/>
      </c:catAx>
      <c:valAx>
        <c:axId val="119250304"/>
        <c:scaling>
          <c:orientation val="minMax"/>
        </c:scaling>
        <c:axPos val="l"/>
        <c:majorGridlines/>
        <c:numFmt formatCode="0" sourceLinked="1"/>
        <c:majorTickMark val="none"/>
        <c:tickLblPos val="nextTo"/>
        <c:spPr>
          <a:ln w="9525">
            <a:noFill/>
          </a:ln>
        </c:spPr>
        <c:crossAx val="119248768"/>
        <c:crosses val="autoZero"/>
        <c:crossBetween val="between"/>
      </c:valAx>
    </c:plotArea>
    <c:legend>
      <c:legendPos val="b"/>
    </c:legend>
    <c:plotVisOnly val="1"/>
  </c:chart>
  <c:txPr>
    <a:bodyPr/>
    <a:lstStyle/>
    <a:p>
      <a:pPr>
        <a:defRPr sz="1800"/>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2014</c:v>
                </c:pt>
              </c:strCache>
            </c:strRef>
          </c:tx>
          <c:cat>
            <c:strRef>
              <c:f>Лист1!$A$2:$A$4</c:f>
              <c:strCache>
                <c:ptCount val="3"/>
                <c:pt idx="0">
                  <c:v>Власні доходи</c:v>
                </c:pt>
                <c:pt idx="1">
                  <c:v>трансферти</c:v>
                </c:pt>
                <c:pt idx="2">
                  <c:v>всього</c:v>
                </c:pt>
              </c:strCache>
            </c:strRef>
          </c:cat>
          <c:val>
            <c:numRef>
              <c:f>Лист1!$B$2:$B$4</c:f>
              <c:numCache>
                <c:formatCode>0</c:formatCode>
                <c:ptCount val="3"/>
                <c:pt idx="0">
                  <c:v>2357365</c:v>
                </c:pt>
                <c:pt idx="1">
                  <c:v>874877</c:v>
                </c:pt>
                <c:pt idx="2">
                  <c:v>3232242</c:v>
                </c:pt>
              </c:numCache>
            </c:numRef>
          </c:val>
        </c:ser>
        <c:ser>
          <c:idx val="1"/>
          <c:order val="1"/>
          <c:tx>
            <c:strRef>
              <c:f>Лист1!$C$1</c:f>
              <c:strCache>
                <c:ptCount val="1"/>
                <c:pt idx="0">
                  <c:v>2015</c:v>
                </c:pt>
              </c:strCache>
            </c:strRef>
          </c:tx>
          <c:cat>
            <c:strRef>
              <c:f>Лист1!$A$2:$A$4</c:f>
              <c:strCache>
                <c:ptCount val="3"/>
                <c:pt idx="0">
                  <c:v>Власні доходи</c:v>
                </c:pt>
                <c:pt idx="1">
                  <c:v>трансферти</c:v>
                </c:pt>
                <c:pt idx="2">
                  <c:v>всього</c:v>
                </c:pt>
              </c:strCache>
            </c:strRef>
          </c:cat>
          <c:val>
            <c:numRef>
              <c:f>Лист1!$C$2:$C$4</c:f>
              <c:numCache>
                <c:formatCode>0</c:formatCode>
                <c:ptCount val="3"/>
                <c:pt idx="0">
                  <c:v>3617147</c:v>
                </c:pt>
                <c:pt idx="1">
                  <c:v>1260935</c:v>
                </c:pt>
                <c:pt idx="2">
                  <c:v>4878082</c:v>
                </c:pt>
              </c:numCache>
            </c:numRef>
          </c:val>
        </c:ser>
        <c:ser>
          <c:idx val="2"/>
          <c:order val="2"/>
          <c:tx>
            <c:strRef>
              <c:f>Лист1!$D$1</c:f>
              <c:strCache>
                <c:ptCount val="1"/>
                <c:pt idx="0">
                  <c:v>2016</c:v>
                </c:pt>
              </c:strCache>
            </c:strRef>
          </c:tx>
          <c:cat>
            <c:strRef>
              <c:f>Лист1!$A$2:$A$4</c:f>
              <c:strCache>
                <c:ptCount val="3"/>
                <c:pt idx="0">
                  <c:v>Власні доходи</c:v>
                </c:pt>
                <c:pt idx="1">
                  <c:v>трансферти</c:v>
                </c:pt>
                <c:pt idx="2">
                  <c:v>всього</c:v>
                </c:pt>
              </c:strCache>
            </c:strRef>
          </c:cat>
          <c:val>
            <c:numRef>
              <c:f>Лист1!$D$2:$D$4</c:f>
              <c:numCache>
                <c:formatCode>General</c:formatCode>
                <c:ptCount val="3"/>
                <c:pt idx="0" formatCode="0">
                  <c:v>4356869</c:v>
                </c:pt>
                <c:pt idx="1">
                  <c:v>1879820</c:v>
                </c:pt>
                <c:pt idx="2">
                  <c:v>6236689</c:v>
                </c:pt>
              </c:numCache>
            </c:numRef>
          </c:val>
        </c:ser>
        <c:ser>
          <c:idx val="3"/>
          <c:order val="3"/>
          <c:tx>
            <c:strRef>
              <c:f>Лист1!$E$1</c:f>
              <c:strCache>
                <c:ptCount val="1"/>
                <c:pt idx="0">
                  <c:v>2017</c:v>
                </c:pt>
              </c:strCache>
            </c:strRef>
          </c:tx>
          <c:cat>
            <c:strRef>
              <c:f>Лист1!$A$2:$A$4</c:f>
              <c:strCache>
                <c:ptCount val="3"/>
                <c:pt idx="0">
                  <c:v>Власні доходи</c:v>
                </c:pt>
                <c:pt idx="1">
                  <c:v>трансферти</c:v>
                </c:pt>
                <c:pt idx="2">
                  <c:v>всього</c:v>
                </c:pt>
              </c:strCache>
            </c:strRef>
          </c:cat>
          <c:val>
            <c:numRef>
              <c:f>Лист1!$E$2:$E$4</c:f>
              <c:numCache>
                <c:formatCode>General</c:formatCode>
                <c:ptCount val="3"/>
                <c:pt idx="0" formatCode="0">
                  <c:v>5783124</c:v>
                </c:pt>
                <c:pt idx="1">
                  <c:v>1785932</c:v>
                </c:pt>
                <c:pt idx="2">
                  <c:v>7569056</c:v>
                </c:pt>
              </c:numCache>
            </c:numRef>
          </c:val>
        </c:ser>
        <c:ser>
          <c:idx val="4"/>
          <c:order val="4"/>
          <c:tx>
            <c:strRef>
              <c:f>Лист1!$F$1</c:f>
              <c:strCache>
                <c:ptCount val="1"/>
                <c:pt idx="0">
                  <c:v>2018</c:v>
                </c:pt>
              </c:strCache>
            </c:strRef>
          </c:tx>
          <c:cat>
            <c:strRef>
              <c:f>Лист1!$A$2:$A$4</c:f>
              <c:strCache>
                <c:ptCount val="3"/>
                <c:pt idx="0">
                  <c:v>Власні доходи</c:v>
                </c:pt>
                <c:pt idx="1">
                  <c:v>трансферти</c:v>
                </c:pt>
                <c:pt idx="2">
                  <c:v>всього</c:v>
                </c:pt>
              </c:strCache>
            </c:strRef>
          </c:cat>
          <c:val>
            <c:numRef>
              <c:f>Лист1!$F$2:$F$4</c:f>
              <c:numCache>
                <c:formatCode>0</c:formatCode>
                <c:ptCount val="3"/>
                <c:pt idx="0">
                  <c:v>10465400</c:v>
                </c:pt>
                <c:pt idx="1">
                  <c:v>16439297</c:v>
                </c:pt>
                <c:pt idx="2">
                  <c:v>26904697</c:v>
                </c:pt>
              </c:numCache>
            </c:numRef>
          </c:val>
        </c:ser>
        <c:gapWidth val="75"/>
        <c:overlap val="-25"/>
        <c:axId val="105289600"/>
        <c:axId val="105291136"/>
      </c:barChart>
      <c:catAx>
        <c:axId val="105289600"/>
        <c:scaling>
          <c:orientation val="minMax"/>
        </c:scaling>
        <c:axPos val="b"/>
        <c:majorTickMark val="none"/>
        <c:tickLblPos val="nextTo"/>
        <c:crossAx val="105291136"/>
        <c:crosses val="autoZero"/>
        <c:auto val="1"/>
        <c:lblAlgn val="ctr"/>
        <c:lblOffset val="100"/>
      </c:catAx>
      <c:valAx>
        <c:axId val="105291136"/>
        <c:scaling>
          <c:orientation val="minMax"/>
        </c:scaling>
        <c:axPos val="l"/>
        <c:majorGridlines/>
        <c:numFmt formatCode="0" sourceLinked="1"/>
        <c:majorTickMark val="none"/>
        <c:tickLblPos val="nextTo"/>
        <c:spPr>
          <a:ln w="9525">
            <a:noFill/>
          </a:ln>
        </c:spPr>
        <c:crossAx val="105289600"/>
        <c:crosses val="autoZero"/>
        <c:crossBetween val="between"/>
      </c:valAx>
    </c:plotArea>
    <c:legend>
      <c:legendPos val="b"/>
    </c:legend>
    <c:plotVisOnly val="1"/>
  </c:chart>
  <c:txPr>
    <a:bodyPr/>
    <a:lstStyle/>
    <a:p>
      <a:pPr>
        <a:defRPr sz="1800"/>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2014</c:v>
                </c:pt>
              </c:strCache>
            </c:strRef>
          </c:tx>
          <c:cat>
            <c:strRef>
              <c:f>Лист1!$A$2:$A$4</c:f>
              <c:strCache>
                <c:ptCount val="3"/>
                <c:pt idx="0">
                  <c:v>Власні доходи</c:v>
                </c:pt>
                <c:pt idx="1">
                  <c:v>трансферти</c:v>
                </c:pt>
                <c:pt idx="2">
                  <c:v>всього</c:v>
                </c:pt>
              </c:strCache>
            </c:strRef>
          </c:cat>
          <c:val>
            <c:numRef>
              <c:f>Лист1!$B$2:$B$4</c:f>
              <c:numCache>
                <c:formatCode>0</c:formatCode>
                <c:ptCount val="3"/>
                <c:pt idx="0">
                  <c:v>17487986</c:v>
                </c:pt>
                <c:pt idx="1">
                  <c:v>76235261</c:v>
                </c:pt>
                <c:pt idx="2">
                  <c:v>93723247</c:v>
                </c:pt>
              </c:numCache>
            </c:numRef>
          </c:val>
        </c:ser>
        <c:ser>
          <c:idx val="1"/>
          <c:order val="1"/>
          <c:tx>
            <c:strRef>
              <c:f>Лист1!$C$1</c:f>
              <c:strCache>
                <c:ptCount val="1"/>
                <c:pt idx="0">
                  <c:v>2015</c:v>
                </c:pt>
              </c:strCache>
            </c:strRef>
          </c:tx>
          <c:cat>
            <c:strRef>
              <c:f>Лист1!$A$2:$A$4</c:f>
              <c:strCache>
                <c:ptCount val="3"/>
                <c:pt idx="0">
                  <c:v>Власні доходи</c:v>
                </c:pt>
                <c:pt idx="1">
                  <c:v>трансферти</c:v>
                </c:pt>
                <c:pt idx="2">
                  <c:v>всього</c:v>
                </c:pt>
              </c:strCache>
            </c:strRef>
          </c:cat>
          <c:val>
            <c:numRef>
              <c:f>Лист1!$C$2:$C$4</c:f>
              <c:numCache>
                <c:formatCode>0</c:formatCode>
                <c:ptCount val="3"/>
                <c:pt idx="0">
                  <c:v>26107529</c:v>
                </c:pt>
                <c:pt idx="1">
                  <c:v>95028959</c:v>
                </c:pt>
                <c:pt idx="2">
                  <c:v>121136487</c:v>
                </c:pt>
              </c:numCache>
            </c:numRef>
          </c:val>
        </c:ser>
        <c:ser>
          <c:idx val="2"/>
          <c:order val="2"/>
          <c:tx>
            <c:strRef>
              <c:f>Лист1!$D$1</c:f>
              <c:strCache>
                <c:ptCount val="1"/>
                <c:pt idx="0">
                  <c:v>2016</c:v>
                </c:pt>
              </c:strCache>
            </c:strRef>
          </c:tx>
          <c:cat>
            <c:strRef>
              <c:f>Лист1!$A$2:$A$4</c:f>
              <c:strCache>
                <c:ptCount val="3"/>
                <c:pt idx="0">
                  <c:v>Власні доходи</c:v>
                </c:pt>
                <c:pt idx="1">
                  <c:v>трансферти</c:v>
                </c:pt>
                <c:pt idx="2">
                  <c:v>всього</c:v>
                </c:pt>
              </c:strCache>
            </c:strRef>
          </c:cat>
          <c:val>
            <c:numRef>
              <c:f>Лист1!$D$2:$D$4</c:f>
              <c:numCache>
                <c:formatCode>General</c:formatCode>
                <c:ptCount val="3"/>
                <c:pt idx="0" formatCode="0">
                  <c:v>42564783</c:v>
                </c:pt>
                <c:pt idx="1">
                  <c:v>141809758</c:v>
                </c:pt>
                <c:pt idx="2">
                  <c:v>184374540</c:v>
                </c:pt>
              </c:numCache>
            </c:numRef>
          </c:val>
        </c:ser>
        <c:ser>
          <c:idx val="3"/>
          <c:order val="3"/>
          <c:tx>
            <c:strRef>
              <c:f>Лист1!$E$1</c:f>
              <c:strCache>
                <c:ptCount val="1"/>
                <c:pt idx="0">
                  <c:v>2017</c:v>
                </c:pt>
              </c:strCache>
            </c:strRef>
          </c:tx>
          <c:cat>
            <c:strRef>
              <c:f>Лист1!$A$2:$A$4</c:f>
              <c:strCache>
                <c:ptCount val="3"/>
                <c:pt idx="0">
                  <c:v>Власні доходи</c:v>
                </c:pt>
                <c:pt idx="1">
                  <c:v>трансферти</c:v>
                </c:pt>
                <c:pt idx="2">
                  <c:v>всього</c:v>
                </c:pt>
              </c:strCache>
            </c:strRef>
          </c:cat>
          <c:val>
            <c:numRef>
              <c:f>Лист1!$E$2:$E$4</c:f>
              <c:numCache>
                <c:formatCode>General</c:formatCode>
                <c:ptCount val="3"/>
                <c:pt idx="0" formatCode="0">
                  <c:v>44095898</c:v>
                </c:pt>
                <c:pt idx="1">
                  <c:v>158341316</c:v>
                </c:pt>
                <c:pt idx="2">
                  <c:v>202437214</c:v>
                </c:pt>
              </c:numCache>
            </c:numRef>
          </c:val>
        </c:ser>
        <c:ser>
          <c:idx val="4"/>
          <c:order val="4"/>
          <c:tx>
            <c:strRef>
              <c:f>Лист1!$F$1</c:f>
              <c:strCache>
                <c:ptCount val="1"/>
                <c:pt idx="0">
                  <c:v>2018</c:v>
                </c:pt>
              </c:strCache>
            </c:strRef>
          </c:tx>
          <c:cat>
            <c:strRef>
              <c:f>Лист1!$A$2:$A$4</c:f>
              <c:strCache>
                <c:ptCount val="3"/>
                <c:pt idx="0">
                  <c:v>Власні доходи</c:v>
                </c:pt>
                <c:pt idx="1">
                  <c:v>трансферти</c:v>
                </c:pt>
                <c:pt idx="2">
                  <c:v>всього</c:v>
                </c:pt>
              </c:strCache>
            </c:strRef>
          </c:cat>
          <c:val>
            <c:numRef>
              <c:f>Лист1!$F$2:$F$4</c:f>
              <c:numCache>
                <c:formatCode>0</c:formatCode>
                <c:ptCount val="3"/>
                <c:pt idx="0">
                  <c:v>24397800</c:v>
                </c:pt>
                <c:pt idx="1">
                  <c:v>163996147</c:v>
                </c:pt>
                <c:pt idx="2">
                  <c:v>188393947</c:v>
                </c:pt>
              </c:numCache>
            </c:numRef>
          </c:val>
        </c:ser>
        <c:gapWidth val="75"/>
        <c:overlap val="-25"/>
        <c:axId val="119482240"/>
        <c:axId val="119483776"/>
      </c:barChart>
      <c:catAx>
        <c:axId val="119482240"/>
        <c:scaling>
          <c:orientation val="minMax"/>
        </c:scaling>
        <c:axPos val="b"/>
        <c:majorTickMark val="none"/>
        <c:tickLblPos val="nextTo"/>
        <c:txPr>
          <a:bodyPr/>
          <a:lstStyle/>
          <a:p>
            <a:pPr>
              <a:defRPr sz="1800"/>
            </a:pPr>
            <a:endParaRPr lang="ru-RU"/>
          </a:p>
        </c:txPr>
        <c:crossAx val="119483776"/>
        <c:crosses val="autoZero"/>
        <c:auto val="1"/>
        <c:lblAlgn val="ctr"/>
        <c:lblOffset val="100"/>
      </c:catAx>
      <c:valAx>
        <c:axId val="119483776"/>
        <c:scaling>
          <c:orientation val="minMax"/>
        </c:scaling>
        <c:axPos val="l"/>
        <c:majorGridlines/>
        <c:numFmt formatCode="0" sourceLinked="1"/>
        <c:majorTickMark val="none"/>
        <c:tickLblPos val="nextTo"/>
        <c:spPr>
          <a:ln w="9525">
            <a:noFill/>
          </a:ln>
        </c:spPr>
        <c:txPr>
          <a:bodyPr/>
          <a:lstStyle/>
          <a:p>
            <a:pPr>
              <a:defRPr sz="1800"/>
            </a:pPr>
            <a:endParaRPr lang="ru-RU"/>
          </a:p>
        </c:txPr>
        <c:crossAx val="119482240"/>
        <c:crosses val="autoZero"/>
        <c:crossBetween val="between"/>
      </c:valAx>
    </c:plotArea>
    <c:legend>
      <c:legendPos val="b"/>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3E656-C8AB-4D34-99AF-BC5337AC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3001</Words>
  <Characters>17112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2</cp:revision>
  <cp:lastPrinted>2018-12-03T12:37:00Z</cp:lastPrinted>
  <dcterms:created xsi:type="dcterms:W3CDTF">2018-12-03T15:36:00Z</dcterms:created>
  <dcterms:modified xsi:type="dcterms:W3CDTF">2018-12-03T15:36:00Z</dcterms:modified>
</cp:coreProperties>
</file>